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bookmarkStart w:id="479" w:name="_GoBack"/>
      <w:r/>
      <w:bookmarkEnd w:id="479"/>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081"/>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081"/>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海安市人民医院血滤机采购项目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JSZC-320685-RBGC-C2025-0044</w:t>
      </w:r>
      <w:r>
        <w:rPr>
          <w:rFonts w:hint="eastAsia" w:ascii="Arial" w:hAnsi="Arial"/>
          <w:b/>
          <w:bCs/>
          <w:color w:val="auto"/>
          <w:sz w:val="36"/>
          <w:szCs w:val="28"/>
          <w:highlight w:val="none"/>
        </w:rPr>
        <w:t xml:space="preserve"> </w:t>
      </w:r>
      <w:r>
        <w:rPr>
          <w:rFonts w:hint="eastAsia" w:ascii="Arial" w:hAnsi="Arial"/>
          <w:b/>
          <w:bCs/>
          <w:color w:val="auto"/>
          <w:sz w:val="28"/>
          <w:szCs w:val="22"/>
          <w:highlight w:val="none"/>
        </w:rPr>
        <w:t xml:space="preserve"> </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0"/>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0"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081"/>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3440"/>
      <w:r/>
      <w:bookmarkStart w:id="3" w:name="_Toc16818"/>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五</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十一月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56404"/>
        <w:docPartObj>
          <w:docPartGallery w:val="Table of Contents"/>
          <w:docPartUnique w:val="true"/>
        </w:docPartObj>
        <w:rPr>
          <w:rFonts w:ascii="宋体" w:hAnsi="宋体" w:eastAsia="宋体" w:cs="Times New Roman"/>
          <w:sz w:val="21"/>
          <w:szCs w:val="22"/>
          <w:highlight w:val="none"/>
          <w:lang w:val="en-US" w:eastAsia="zh-CN" w:bidi="ar-SA"/>
        </w:rPr>
      </w:sdtPr>
      <w:sdtContent>
        <w:p>
          <w:pPr>
            <w:ind w:left="0" w:right="0" w:firstLine="0"/>
            <w:jc w:val="center"/>
            <w:spacing w:before="0" w:after="0" w:line="240" w:lineRule="auto"/>
            <w:rPr>
              <w:b/>
              <w:bCs/>
              <w:sz w:val="28"/>
              <w:szCs w:val="32"/>
              <w:highlight w:val="none"/>
            </w:rPr>
          </w:pPr>
          <w:r>
            <w:rPr>
              <w:rFonts w:ascii="宋体" w:hAnsi="宋体" w:eastAsia="宋体"/>
              <w:b/>
              <w:bCs/>
              <w:sz w:val="28"/>
              <w:szCs w:val="32"/>
              <w:highlight w:val="none"/>
            </w:rPr>
            <w:t xml:space="preserve">目录</w:t>
          </w:r>
          <w:r/>
        </w:p>
        <w:p>
          <w:pPr>
            <w:pStyle w:val="1090"/>
            <w:tabs>
              <w:tab w:val="right" w:pos="9026" w:leader="hyphen"/>
            </w:tabs>
            <w:rPr>
              <w:b/>
              <w:bCs/>
              <w:sz w:val="28"/>
              <w:szCs w:val="32"/>
              <w:highlight w:val="none"/>
            </w:rPr>
          </w:pPr>
          <w:r>
            <w:rPr>
              <w:rFonts w:ascii="Times New Roman" w:hAnsi="Times New Roman" w:eastAsia="宋体" w:cs="Times New Roman"/>
              <w:b/>
              <w:bCs/>
              <w:color w:val="auto"/>
              <w:sz w:val="28"/>
              <w:szCs w:val="32"/>
              <w:highlight w:val="none"/>
              <w:lang w:val="en-US" w:eastAsia="zh-CN" w:bidi="ar-SA"/>
            </w:rPr>
            <w:fldChar w:fldCharType="begin"/>
          </w:r>
          <w:r>
            <w:rPr>
              <w:rFonts w:ascii="Times New Roman" w:hAnsi="Times New Roman" w:eastAsia="宋体" w:cs="Times New Roman"/>
              <w:b/>
              <w:bCs/>
              <w:color w:val="auto"/>
              <w:sz w:val="28"/>
              <w:szCs w:val="32"/>
              <w:highlight w:val="none"/>
              <w:lang w:val="en-US" w:eastAsia="zh-CN" w:bidi="ar-SA"/>
            </w:rPr>
            <w:instrText xml:space="preserve">TOC \o "1-1" \h \u </w:instrText>
          </w:r>
          <w:r>
            <w:rPr>
              <w:rFonts w:ascii="Times New Roman" w:hAnsi="Times New Roman" w:eastAsia="宋体" w:cs="Times New Roman"/>
              <w:b/>
              <w:bCs/>
              <w:color w:val="auto"/>
              <w:sz w:val="28"/>
              <w:szCs w:val="32"/>
              <w:highlight w:val="none"/>
              <w:lang w:val="en-US" w:eastAsia="zh-CN" w:bidi="ar-SA"/>
            </w:rPr>
            <w:fldChar w:fldCharType="separate"/>
          </w:r>
          <w:r>
            <w:rPr>
              <w:rFonts w:ascii="Times New Roman" w:hAnsi="Times New Roman" w:eastAsia="宋体" w:cs="Times New Roman"/>
              <w:b/>
              <w:bCs/>
              <w:color w:val="auto"/>
              <w:sz w:val="28"/>
              <w:szCs w:val="32"/>
              <w:highlight w:val="none"/>
              <w:lang w:val="en-US" w:eastAsia="zh-CN" w:bidi="ar-SA"/>
            </w:rPr>
            <w:fldChar w:fldCharType="begin"/>
          </w:r>
          <w:r>
            <w:rPr>
              <w:rFonts w:ascii="Times New Roman" w:hAnsi="Times New Roman" w:eastAsia="宋体" w:cs="Times New Roman"/>
              <w:b/>
              <w:bCs/>
              <w:sz w:val="28"/>
              <w:szCs w:val="32"/>
              <w:highlight w:val="none"/>
              <w:lang w:val="en-US" w:eastAsia="zh-CN" w:bidi="ar-SA"/>
            </w:rPr>
            <w:instrText xml:space="preserve"> HYPERLINK \l _Toc19798 </w:instrText>
          </w:r>
          <w:r>
            <w:rPr>
              <w:rFonts w:ascii="Times New Roman" w:hAnsi="Times New Roman" w:eastAsia="宋体" w:cs="Times New Roman"/>
              <w:b/>
              <w:bCs/>
              <w:sz w:val="28"/>
              <w:szCs w:val="32"/>
              <w:highlight w:val="none"/>
              <w:lang w:val="en-US" w:eastAsia="zh-CN" w:bidi="ar-SA"/>
            </w:rPr>
            <w:fldChar w:fldCharType="separate"/>
          </w:r>
          <w:r>
            <w:rPr>
              <w:rFonts w:hint="eastAsia" w:ascii="黑体" w:hAnsi="Times New Roman" w:eastAsia="黑体"/>
              <w:b/>
              <w:bCs/>
              <w:sz w:val="28"/>
              <w:szCs w:val="56"/>
              <w:highlight w:val="none"/>
            </w:rPr>
            <w:t xml:space="preserve">第一章 磋商邀请</w:t>
          </w:r>
          <w:r>
            <w:rPr>
              <w:b/>
              <w:bCs/>
              <w:sz w:val="28"/>
              <w:szCs w:val="32"/>
              <w:highlight w:val="none"/>
            </w:rPr>
            <w:tab/>
          </w:r>
          <w:r>
            <w:rPr>
              <w:b/>
              <w:bCs/>
              <w:sz w:val="28"/>
              <w:szCs w:val="32"/>
              <w:highlight w:val="none"/>
            </w:rPr>
            <w:fldChar w:fldCharType="begin"/>
          </w:r>
          <w:r>
            <w:rPr>
              <w:b/>
              <w:bCs/>
              <w:sz w:val="28"/>
              <w:szCs w:val="32"/>
              <w:highlight w:val="none"/>
            </w:rPr>
            <w:instrText xml:space="preserve"> PAGEREF _Toc19798 \h </w:instrText>
          </w:r>
          <w:r>
            <w:rPr>
              <w:b/>
              <w:bCs/>
              <w:sz w:val="28"/>
              <w:szCs w:val="32"/>
              <w:highlight w:val="none"/>
            </w:rPr>
            <w:fldChar w:fldCharType="separate"/>
          </w:r>
          <w:r>
            <w:rPr>
              <w:b/>
              <w:bCs/>
              <w:sz w:val="28"/>
              <w:szCs w:val="32"/>
              <w:highlight w:val="none"/>
            </w:rPr>
            <w:t xml:space="preserve">1</w:t>
          </w:r>
          <w:r>
            <w:rPr>
              <w:b/>
              <w:bCs/>
              <w:sz w:val="28"/>
              <w:szCs w:val="32"/>
              <w:highlight w:val="none"/>
            </w:rPr>
            <w:fldChar w:fldCharType="end"/>
          </w:r>
          <w:r>
            <w:rPr>
              <w:rFonts w:ascii="Times New Roman" w:hAnsi="Times New Roman" w:eastAsia="宋体" w:cs="Times New Roman"/>
              <w:b/>
              <w:bCs/>
              <w:color w:val="auto"/>
              <w:sz w:val="28"/>
              <w:szCs w:val="32"/>
              <w:highlight w:val="none"/>
              <w:lang w:val="en-US" w:eastAsia="zh-CN" w:bidi="ar-SA"/>
            </w:rPr>
            <w:fldChar w:fldCharType="end"/>
          </w:r>
          <w:r/>
        </w:p>
        <w:p>
          <w:pPr>
            <w:pStyle w:val="1090"/>
            <w:tabs>
              <w:tab w:val="right" w:pos="9026" w:leader="hyphen"/>
            </w:tabs>
            <w:rPr>
              <w:b/>
              <w:bCs/>
              <w:sz w:val="28"/>
              <w:szCs w:val="32"/>
              <w:highlight w:val="none"/>
            </w:rPr>
          </w:pPr>
          <w:r>
            <w:rPr>
              <w:rFonts w:ascii="Times New Roman" w:hAnsi="Times New Roman" w:eastAsia="宋体" w:cs="Times New Roman"/>
              <w:b/>
              <w:bCs/>
              <w:color w:val="auto"/>
              <w:sz w:val="28"/>
              <w:szCs w:val="32"/>
              <w:highlight w:val="none"/>
              <w:lang w:val="en-US" w:eastAsia="zh-CN" w:bidi="ar-SA"/>
            </w:rPr>
            <w:fldChar w:fldCharType="begin"/>
          </w:r>
          <w:r>
            <w:rPr>
              <w:rFonts w:ascii="Times New Roman" w:hAnsi="Times New Roman" w:eastAsia="宋体" w:cs="Times New Roman"/>
              <w:b/>
              <w:bCs/>
              <w:sz w:val="28"/>
              <w:szCs w:val="32"/>
              <w:highlight w:val="none"/>
              <w:lang w:val="en-US" w:eastAsia="zh-CN" w:bidi="ar-SA"/>
            </w:rPr>
            <w:instrText xml:space="preserve"> HYPERLINK \l _Toc16974 </w:instrText>
          </w:r>
          <w:r>
            <w:rPr>
              <w:rFonts w:ascii="Times New Roman" w:hAnsi="Times New Roman" w:eastAsia="宋体" w:cs="Times New Roman"/>
              <w:b/>
              <w:bCs/>
              <w:sz w:val="28"/>
              <w:szCs w:val="32"/>
              <w:highlight w:val="none"/>
              <w:lang w:val="en-US" w:eastAsia="zh-CN" w:bidi="ar-SA"/>
            </w:rPr>
            <w:fldChar w:fldCharType="separate"/>
          </w:r>
          <w:r>
            <w:rPr>
              <w:rFonts w:hint="eastAsia" w:ascii="黑体" w:hAnsi="Arial" w:eastAsia="黑体" w:cs="Arial"/>
              <w:b/>
              <w:bCs/>
              <w:sz w:val="28"/>
              <w:szCs w:val="56"/>
              <w:highlight w:val="none"/>
            </w:rPr>
            <w:t xml:space="preserve">第二章 </w:t>
          </w:r>
          <w:r>
            <w:rPr>
              <w:rFonts w:hint="eastAsia" w:ascii="黑体" w:hAnsi="Arial" w:eastAsia="黑体" w:cs="Arial"/>
              <w:b/>
              <w:bCs/>
              <w:sz w:val="28"/>
              <w:szCs w:val="56"/>
              <w:highlight w:val="none"/>
            </w:rPr>
            <w:t xml:space="preserve">供应商须知</w:t>
          </w:r>
          <w:r>
            <w:rPr>
              <w:b/>
              <w:bCs/>
              <w:sz w:val="28"/>
              <w:szCs w:val="32"/>
              <w:highlight w:val="none"/>
            </w:rPr>
            <w:tab/>
          </w:r>
          <w:r>
            <w:rPr>
              <w:b/>
              <w:bCs/>
              <w:sz w:val="28"/>
              <w:szCs w:val="32"/>
              <w:highlight w:val="none"/>
            </w:rPr>
            <w:fldChar w:fldCharType="begin"/>
          </w:r>
          <w:r>
            <w:rPr>
              <w:b/>
              <w:bCs/>
              <w:sz w:val="28"/>
              <w:szCs w:val="32"/>
              <w:highlight w:val="none"/>
            </w:rPr>
            <w:instrText xml:space="preserve"> PAGEREF _Toc16974 \h </w:instrText>
          </w:r>
          <w:r>
            <w:rPr>
              <w:b/>
              <w:bCs/>
              <w:sz w:val="28"/>
              <w:szCs w:val="32"/>
              <w:highlight w:val="none"/>
            </w:rPr>
            <w:fldChar w:fldCharType="separate"/>
          </w:r>
          <w:r>
            <w:rPr>
              <w:b/>
              <w:bCs/>
              <w:sz w:val="28"/>
              <w:szCs w:val="32"/>
              <w:highlight w:val="none"/>
            </w:rPr>
            <w:t xml:space="preserve">5</w:t>
          </w:r>
          <w:r>
            <w:rPr>
              <w:b/>
              <w:bCs/>
              <w:sz w:val="28"/>
              <w:szCs w:val="32"/>
              <w:highlight w:val="none"/>
            </w:rPr>
            <w:fldChar w:fldCharType="end"/>
          </w:r>
          <w:r>
            <w:rPr>
              <w:rFonts w:ascii="Times New Roman" w:hAnsi="Times New Roman" w:eastAsia="宋体" w:cs="Times New Roman"/>
              <w:b/>
              <w:bCs/>
              <w:color w:val="auto"/>
              <w:sz w:val="28"/>
              <w:szCs w:val="32"/>
              <w:highlight w:val="none"/>
              <w:lang w:val="en-US" w:eastAsia="zh-CN" w:bidi="ar-SA"/>
            </w:rPr>
            <w:fldChar w:fldCharType="end"/>
          </w:r>
          <w:r/>
        </w:p>
        <w:p>
          <w:pPr>
            <w:pStyle w:val="1090"/>
            <w:tabs>
              <w:tab w:val="right" w:pos="9026" w:leader="hyphen"/>
            </w:tabs>
            <w:rPr>
              <w:b/>
              <w:bCs/>
              <w:sz w:val="28"/>
              <w:szCs w:val="32"/>
              <w:highlight w:val="none"/>
            </w:rPr>
          </w:pPr>
          <w:r>
            <w:rPr>
              <w:rFonts w:ascii="Times New Roman" w:hAnsi="Times New Roman" w:eastAsia="宋体" w:cs="Times New Roman"/>
              <w:b/>
              <w:bCs/>
              <w:color w:val="auto"/>
              <w:sz w:val="28"/>
              <w:szCs w:val="32"/>
              <w:highlight w:val="none"/>
              <w:lang w:val="en-US" w:eastAsia="zh-CN" w:bidi="ar-SA"/>
            </w:rPr>
            <w:fldChar w:fldCharType="begin"/>
          </w:r>
          <w:r>
            <w:rPr>
              <w:rFonts w:ascii="Times New Roman" w:hAnsi="Times New Roman" w:eastAsia="宋体" w:cs="Times New Roman"/>
              <w:b/>
              <w:bCs/>
              <w:sz w:val="28"/>
              <w:szCs w:val="32"/>
              <w:highlight w:val="none"/>
              <w:lang w:val="en-US" w:eastAsia="zh-CN" w:bidi="ar-SA"/>
            </w:rPr>
            <w:instrText xml:space="preserve"> HYPERLINK \l _Toc15736 </w:instrText>
          </w:r>
          <w:r>
            <w:rPr>
              <w:rFonts w:ascii="Times New Roman" w:hAnsi="Times New Roman" w:eastAsia="宋体" w:cs="Times New Roman"/>
              <w:b/>
              <w:bCs/>
              <w:sz w:val="28"/>
              <w:szCs w:val="32"/>
              <w:highlight w:val="none"/>
              <w:lang w:val="en-US" w:eastAsia="zh-CN" w:bidi="ar-SA"/>
            </w:rPr>
            <w:fldChar w:fldCharType="separate"/>
          </w:r>
          <w:r>
            <w:rPr>
              <w:rFonts w:hint="eastAsia" w:ascii="黑体" w:hAnsi="Arial" w:eastAsia="黑体" w:cs="Arial"/>
              <w:b/>
              <w:bCs/>
              <w:sz w:val="28"/>
              <w:szCs w:val="56"/>
              <w:highlight w:val="none"/>
            </w:rPr>
            <w:t xml:space="preserve">第三章 采购需求</w:t>
          </w:r>
          <w:r>
            <w:rPr>
              <w:b/>
              <w:bCs/>
              <w:sz w:val="28"/>
              <w:szCs w:val="32"/>
              <w:highlight w:val="none"/>
            </w:rPr>
            <w:tab/>
          </w:r>
          <w:r>
            <w:rPr>
              <w:b/>
              <w:bCs/>
              <w:sz w:val="28"/>
              <w:szCs w:val="32"/>
              <w:highlight w:val="none"/>
            </w:rPr>
            <w:fldChar w:fldCharType="begin"/>
          </w:r>
          <w:r>
            <w:rPr>
              <w:b/>
              <w:bCs/>
              <w:sz w:val="28"/>
              <w:szCs w:val="32"/>
              <w:highlight w:val="none"/>
            </w:rPr>
            <w:instrText xml:space="preserve"> PAGEREF _Toc15736 \h </w:instrText>
          </w:r>
          <w:r>
            <w:rPr>
              <w:b/>
              <w:bCs/>
              <w:sz w:val="28"/>
              <w:szCs w:val="32"/>
              <w:highlight w:val="none"/>
            </w:rPr>
            <w:fldChar w:fldCharType="separate"/>
          </w:r>
          <w:r>
            <w:rPr>
              <w:b/>
              <w:bCs/>
              <w:sz w:val="28"/>
              <w:szCs w:val="32"/>
              <w:highlight w:val="none"/>
            </w:rPr>
            <w:t xml:space="preserve">21</w:t>
          </w:r>
          <w:r>
            <w:rPr>
              <w:b/>
              <w:bCs/>
              <w:sz w:val="28"/>
              <w:szCs w:val="32"/>
              <w:highlight w:val="none"/>
            </w:rPr>
            <w:fldChar w:fldCharType="end"/>
          </w:r>
          <w:r>
            <w:rPr>
              <w:rFonts w:ascii="Times New Roman" w:hAnsi="Times New Roman" w:eastAsia="宋体" w:cs="Times New Roman"/>
              <w:b/>
              <w:bCs/>
              <w:color w:val="auto"/>
              <w:sz w:val="28"/>
              <w:szCs w:val="32"/>
              <w:highlight w:val="none"/>
              <w:lang w:val="en-US" w:eastAsia="zh-CN" w:bidi="ar-SA"/>
            </w:rPr>
            <w:fldChar w:fldCharType="end"/>
          </w:r>
          <w:r/>
        </w:p>
        <w:p>
          <w:pPr>
            <w:pStyle w:val="1090"/>
            <w:tabs>
              <w:tab w:val="right" w:pos="9026" w:leader="hyphen"/>
            </w:tabs>
            <w:rPr>
              <w:b/>
              <w:bCs/>
              <w:sz w:val="28"/>
              <w:szCs w:val="32"/>
              <w:highlight w:val="none"/>
            </w:rPr>
          </w:pPr>
          <w:r>
            <w:rPr>
              <w:rFonts w:ascii="Times New Roman" w:hAnsi="Times New Roman" w:eastAsia="宋体" w:cs="Times New Roman"/>
              <w:b/>
              <w:bCs/>
              <w:color w:val="auto"/>
              <w:sz w:val="28"/>
              <w:szCs w:val="32"/>
              <w:highlight w:val="none"/>
              <w:lang w:val="en-US" w:eastAsia="zh-CN" w:bidi="ar-SA"/>
            </w:rPr>
            <w:fldChar w:fldCharType="begin"/>
          </w:r>
          <w:r>
            <w:rPr>
              <w:rFonts w:ascii="Times New Roman" w:hAnsi="Times New Roman" w:eastAsia="宋体" w:cs="Times New Roman"/>
              <w:b/>
              <w:bCs/>
              <w:sz w:val="28"/>
              <w:szCs w:val="32"/>
              <w:highlight w:val="none"/>
              <w:lang w:val="en-US" w:eastAsia="zh-CN" w:bidi="ar-SA"/>
            </w:rPr>
            <w:instrText xml:space="preserve"> HYPERLINK \l _Toc22199 </w:instrText>
          </w:r>
          <w:r>
            <w:rPr>
              <w:rFonts w:ascii="Times New Roman" w:hAnsi="Times New Roman" w:eastAsia="宋体" w:cs="Times New Roman"/>
              <w:b/>
              <w:bCs/>
              <w:sz w:val="28"/>
              <w:szCs w:val="32"/>
              <w:highlight w:val="none"/>
              <w:lang w:val="en-US" w:eastAsia="zh-CN" w:bidi="ar-SA"/>
            </w:rPr>
            <w:fldChar w:fldCharType="separate"/>
          </w:r>
          <w:r>
            <w:rPr>
              <w:rFonts w:hint="eastAsia" w:ascii="黑体" w:hAnsi="Arial" w:eastAsia="黑体" w:cs="Arial"/>
              <w:b/>
              <w:bCs/>
              <w:sz w:val="28"/>
              <w:szCs w:val="56"/>
              <w:highlight w:val="none"/>
            </w:rPr>
            <w:t xml:space="preserve">第四</w:t>
          </w:r>
          <w:r>
            <w:rPr>
              <w:rFonts w:hint="eastAsia" w:ascii="黑体" w:hAnsi="Arial" w:eastAsia="黑体" w:cs="Arial"/>
              <w:b/>
              <w:bCs/>
              <w:sz w:val="28"/>
              <w:szCs w:val="56"/>
              <w:highlight w:val="none"/>
              <w:lang w:val="en-US" w:eastAsia="zh-CN"/>
            </w:rPr>
            <w:t xml:space="preserve">章 </w:t>
          </w:r>
          <w:r>
            <w:rPr>
              <w:rFonts w:hint="eastAsia" w:ascii="黑体" w:hAnsi="Arial" w:eastAsia="黑体" w:cs="Arial"/>
              <w:b/>
              <w:bCs/>
              <w:sz w:val="28"/>
              <w:szCs w:val="56"/>
              <w:highlight w:val="none"/>
            </w:rPr>
            <w:t xml:space="preserve">合同</w:t>
          </w:r>
          <w:r>
            <w:rPr>
              <w:rFonts w:hint="eastAsia" w:ascii="黑体" w:hAnsi="Arial" w:eastAsia="黑体" w:cs="Arial"/>
              <w:b/>
              <w:bCs/>
              <w:sz w:val="28"/>
              <w:szCs w:val="56"/>
              <w:highlight w:val="none"/>
              <w:lang w:val="en-US" w:eastAsia="zh-CN"/>
            </w:rPr>
            <w:t xml:space="preserve">条款</w:t>
          </w:r>
          <w:r>
            <w:rPr>
              <w:b/>
              <w:bCs/>
              <w:sz w:val="28"/>
              <w:szCs w:val="32"/>
              <w:highlight w:val="none"/>
            </w:rPr>
            <w:tab/>
          </w:r>
          <w:r>
            <w:rPr>
              <w:b/>
              <w:bCs/>
              <w:sz w:val="28"/>
              <w:szCs w:val="32"/>
              <w:highlight w:val="none"/>
            </w:rPr>
            <w:fldChar w:fldCharType="begin"/>
          </w:r>
          <w:r>
            <w:rPr>
              <w:b/>
              <w:bCs/>
              <w:sz w:val="28"/>
              <w:szCs w:val="32"/>
              <w:highlight w:val="none"/>
            </w:rPr>
            <w:instrText xml:space="preserve"> PAGEREF _Toc22199 \h </w:instrText>
          </w:r>
          <w:r>
            <w:rPr>
              <w:b/>
              <w:bCs/>
              <w:sz w:val="28"/>
              <w:szCs w:val="32"/>
              <w:highlight w:val="none"/>
            </w:rPr>
            <w:fldChar w:fldCharType="separate"/>
          </w:r>
          <w:r>
            <w:rPr>
              <w:b/>
              <w:bCs/>
              <w:sz w:val="28"/>
              <w:szCs w:val="32"/>
              <w:highlight w:val="none"/>
            </w:rPr>
            <w:t xml:space="preserve">26</w:t>
          </w:r>
          <w:r>
            <w:rPr>
              <w:b/>
              <w:bCs/>
              <w:sz w:val="28"/>
              <w:szCs w:val="32"/>
              <w:highlight w:val="none"/>
            </w:rPr>
            <w:fldChar w:fldCharType="end"/>
          </w:r>
          <w:r>
            <w:rPr>
              <w:rFonts w:ascii="Times New Roman" w:hAnsi="Times New Roman" w:eastAsia="宋体" w:cs="Times New Roman"/>
              <w:b/>
              <w:bCs/>
              <w:color w:val="auto"/>
              <w:sz w:val="28"/>
              <w:szCs w:val="32"/>
              <w:highlight w:val="none"/>
              <w:lang w:val="en-US" w:eastAsia="zh-CN" w:bidi="ar-SA"/>
            </w:rPr>
            <w:fldChar w:fldCharType="end"/>
          </w:r>
          <w:r/>
        </w:p>
        <w:p>
          <w:pPr>
            <w:pStyle w:val="1090"/>
            <w:tabs>
              <w:tab w:val="right" w:pos="9026" w:leader="hyphen"/>
            </w:tabs>
            <w:rPr>
              <w:b/>
              <w:bCs/>
              <w:sz w:val="28"/>
              <w:szCs w:val="32"/>
              <w:highlight w:val="none"/>
            </w:rPr>
          </w:pPr>
          <w:r>
            <w:rPr>
              <w:rFonts w:ascii="Times New Roman" w:hAnsi="Times New Roman" w:eastAsia="宋体" w:cs="Times New Roman"/>
              <w:b/>
              <w:bCs/>
              <w:color w:val="auto"/>
              <w:sz w:val="28"/>
              <w:szCs w:val="32"/>
              <w:highlight w:val="none"/>
              <w:lang w:val="en-US" w:eastAsia="zh-CN" w:bidi="ar-SA"/>
            </w:rPr>
            <w:fldChar w:fldCharType="begin"/>
          </w:r>
          <w:r>
            <w:rPr>
              <w:rFonts w:ascii="Times New Roman" w:hAnsi="Times New Roman" w:eastAsia="宋体" w:cs="Times New Roman"/>
              <w:b/>
              <w:bCs/>
              <w:sz w:val="28"/>
              <w:szCs w:val="32"/>
              <w:highlight w:val="none"/>
              <w:lang w:val="en-US" w:eastAsia="zh-CN" w:bidi="ar-SA"/>
            </w:rPr>
            <w:instrText xml:space="preserve"> HYPERLINK \l _Toc24567 </w:instrText>
          </w:r>
          <w:r>
            <w:rPr>
              <w:rFonts w:ascii="Times New Roman" w:hAnsi="Times New Roman" w:eastAsia="宋体" w:cs="Times New Roman"/>
              <w:b/>
              <w:bCs/>
              <w:sz w:val="28"/>
              <w:szCs w:val="32"/>
              <w:highlight w:val="none"/>
              <w:lang w:val="en-US" w:eastAsia="zh-CN" w:bidi="ar-SA"/>
            </w:rPr>
            <w:fldChar w:fldCharType="separate"/>
          </w:r>
          <w:r>
            <w:rPr>
              <w:rFonts w:hint="eastAsia" w:ascii="黑体" w:hAnsi="Times New Roman" w:eastAsia="黑体"/>
              <w:b/>
              <w:bCs/>
              <w:sz w:val="28"/>
              <w:szCs w:val="40"/>
              <w:highlight w:val="none"/>
            </w:rPr>
            <w:t xml:space="preserve">第</w:t>
          </w:r>
          <w:r>
            <w:rPr>
              <w:rFonts w:hint="eastAsia" w:ascii="黑体" w:hAnsi="Times New Roman" w:eastAsia="黑体"/>
              <w:b/>
              <w:bCs/>
              <w:sz w:val="28"/>
              <w:szCs w:val="40"/>
              <w:highlight w:val="none"/>
              <w:lang w:val="en-US" w:eastAsia="zh-CN"/>
            </w:rPr>
            <w:t xml:space="preserve">五</w:t>
          </w:r>
          <w:r>
            <w:rPr>
              <w:rFonts w:hint="eastAsia" w:ascii="黑体" w:hAnsi="Times New Roman" w:eastAsia="黑体"/>
              <w:b/>
              <w:bCs/>
              <w:sz w:val="28"/>
              <w:szCs w:val="40"/>
              <w:highlight w:val="none"/>
            </w:rPr>
            <w:t xml:space="preserve">章 评审方法与评审标准</w:t>
          </w:r>
          <w:r>
            <w:rPr>
              <w:b/>
              <w:bCs/>
              <w:sz w:val="28"/>
              <w:szCs w:val="32"/>
              <w:highlight w:val="none"/>
            </w:rPr>
            <w:tab/>
          </w:r>
          <w:r>
            <w:rPr>
              <w:b/>
              <w:bCs/>
              <w:sz w:val="28"/>
              <w:szCs w:val="32"/>
              <w:highlight w:val="none"/>
            </w:rPr>
            <w:fldChar w:fldCharType="begin"/>
          </w:r>
          <w:r>
            <w:rPr>
              <w:b/>
              <w:bCs/>
              <w:sz w:val="28"/>
              <w:szCs w:val="32"/>
              <w:highlight w:val="none"/>
            </w:rPr>
            <w:instrText xml:space="preserve"> PAGEREF _Toc24567 \h </w:instrText>
          </w:r>
          <w:r>
            <w:rPr>
              <w:b/>
              <w:bCs/>
              <w:sz w:val="28"/>
              <w:szCs w:val="32"/>
              <w:highlight w:val="none"/>
            </w:rPr>
            <w:fldChar w:fldCharType="separate"/>
          </w:r>
          <w:r>
            <w:rPr>
              <w:b/>
              <w:bCs/>
              <w:sz w:val="28"/>
              <w:szCs w:val="32"/>
              <w:highlight w:val="none"/>
            </w:rPr>
            <w:t xml:space="preserve">41</w:t>
          </w:r>
          <w:r>
            <w:rPr>
              <w:b/>
              <w:bCs/>
              <w:sz w:val="28"/>
              <w:szCs w:val="32"/>
              <w:highlight w:val="none"/>
            </w:rPr>
            <w:fldChar w:fldCharType="end"/>
          </w:r>
          <w:r>
            <w:rPr>
              <w:rFonts w:ascii="Times New Roman" w:hAnsi="Times New Roman" w:eastAsia="宋体" w:cs="Times New Roman"/>
              <w:b/>
              <w:bCs/>
              <w:color w:val="auto"/>
              <w:sz w:val="28"/>
              <w:szCs w:val="32"/>
              <w:highlight w:val="none"/>
              <w:lang w:val="en-US" w:eastAsia="zh-CN" w:bidi="ar-SA"/>
            </w:rPr>
            <w:fldChar w:fldCharType="end"/>
          </w:r>
          <w:r/>
        </w:p>
        <w:p>
          <w:pPr>
            <w:pStyle w:val="1090"/>
            <w:tabs>
              <w:tab w:val="right" w:pos="9026" w:leader="hyphen"/>
            </w:tabs>
            <w:rPr>
              <w:b/>
              <w:bCs/>
              <w:sz w:val="28"/>
              <w:szCs w:val="32"/>
              <w:highlight w:val="none"/>
            </w:rPr>
          </w:pPr>
          <w:r>
            <w:rPr>
              <w:rFonts w:ascii="Times New Roman" w:hAnsi="Times New Roman" w:eastAsia="宋体" w:cs="Times New Roman"/>
              <w:b/>
              <w:bCs/>
              <w:color w:val="auto"/>
              <w:sz w:val="28"/>
              <w:szCs w:val="32"/>
              <w:highlight w:val="none"/>
              <w:lang w:val="en-US" w:eastAsia="zh-CN" w:bidi="ar-SA"/>
            </w:rPr>
            <w:fldChar w:fldCharType="begin"/>
          </w:r>
          <w:r>
            <w:rPr>
              <w:rFonts w:ascii="Times New Roman" w:hAnsi="Times New Roman" w:eastAsia="宋体" w:cs="Times New Roman"/>
              <w:b/>
              <w:bCs/>
              <w:sz w:val="28"/>
              <w:szCs w:val="32"/>
              <w:highlight w:val="none"/>
              <w:lang w:val="en-US" w:eastAsia="zh-CN" w:bidi="ar-SA"/>
            </w:rPr>
            <w:instrText xml:space="preserve"> HYPERLINK \l _Toc9646 </w:instrText>
          </w:r>
          <w:r>
            <w:rPr>
              <w:rFonts w:ascii="Times New Roman" w:hAnsi="Times New Roman" w:eastAsia="宋体" w:cs="Times New Roman"/>
              <w:b/>
              <w:bCs/>
              <w:sz w:val="28"/>
              <w:szCs w:val="32"/>
              <w:highlight w:val="none"/>
              <w:lang w:val="en-US" w:eastAsia="zh-CN" w:bidi="ar-SA"/>
            </w:rPr>
            <w:fldChar w:fldCharType="separate"/>
          </w:r>
          <w:r>
            <w:rPr>
              <w:rFonts w:hint="eastAsia" w:ascii="黑体" w:hAnsi="Times New Roman" w:eastAsia="黑体"/>
              <w:b/>
              <w:bCs/>
              <w:sz w:val="28"/>
              <w:szCs w:val="40"/>
              <w:highlight w:val="none"/>
            </w:rPr>
            <w:t xml:space="preserve">第</w:t>
          </w:r>
          <w:r>
            <w:rPr>
              <w:rFonts w:hint="eastAsia" w:ascii="黑体" w:hAnsi="Times New Roman" w:eastAsia="黑体"/>
              <w:b/>
              <w:bCs/>
              <w:sz w:val="28"/>
              <w:szCs w:val="40"/>
              <w:highlight w:val="none"/>
              <w:lang w:val="en-US" w:eastAsia="zh-CN"/>
            </w:rPr>
            <w:t xml:space="preserve">六</w:t>
          </w:r>
          <w:r>
            <w:rPr>
              <w:rFonts w:hint="eastAsia" w:ascii="黑体" w:hAnsi="Times New Roman" w:eastAsia="黑体"/>
              <w:b/>
              <w:bCs/>
              <w:sz w:val="28"/>
              <w:szCs w:val="40"/>
              <w:highlight w:val="none"/>
            </w:rPr>
            <w:t xml:space="preserve">章 响应文件格式</w:t>
          </w:r>
          <w:r>
            <w:rPr>
              <w:b/>
              <w:bCs/>
              <w:sz w:val="28"/>
              <w:szCs w:val="32"/>
              <w:highlight w:val="none"/>
            </w:rPr>
            <w:tab/>
          </w:r>
          <w:r>
            <w:rPr>
              <w:b/>
              <w:bCs/>
              <w:sz w:val="28"/>
              <w:szCs w:val="32"/>
              <w:highlight w:val="none"/>
            </w:rPr>
            <w:fldChar w:fldCharType="begin"/>
          </w:r>
          <w:r>
            <w:rPr>
              <w:b/>
              <w:bCs/>
              <w:sz w:val="28"/>
              <w:szCs w:val="32"/>
              <w:highlight w:val="none"/>
            </w:rPr>
            <w:instrText xml:space="preserve"> PAGEREF _Toc9646 \h </w:instrText>
          </w:r>
          <w:r>
            <w:rPr>
              <w:b/>
              <w:bCs/>
              <w:sz w:val="28"/>
              <w:szCs w:val="32"/>
              <w:highlight w:val="none"/>
            </w:rPr>
            <w:fldChar w:fldCharType="separate"/>
          </w:r>
          <w:r>
            <w:rPr>
              <w:b/>
              <w:bCs/>
              <w:sz w:val="28"/>
              <w:szCs w:val="32"/>
              <w:highlight w:val="none"/>
            </w:rPr>
            <w:t xml:space="preserve">48</w:t>
          </w:r>
          <w:r>
            <w:rPr>
              <w:b/>
              <w:bCs/>
              <w:sz w:val="28"/>
              <w:szCs w:val="32"/>
              <w:highlight w:val="none"/>
            </w:rPr>
            <w:fldChar w:fldCharType="end"/>
          </w:r>
          <w:r>
            <w:rPr>
              <w:rFonts w:ascii="Times New Roman" w:hAnsi="Times New Roman" w:eastAsia="宋体" w:cs="Times New Roman"/>
              <w:b/>
              <w:bCs/>
              <w:color w:val="auto"/>
              <w:sz w:val="28"/>
              <w:szCs w:val="32"/>
              <w:highlight w:val="none"/>
              <w:lang w:val="en-US" w:eastAsia="zh-CN" w:bidi="ar-SA"/>
            </w:rPr>
            <w:fldChar w:fldCharType="end"/>
          </w:r>
          <w:r/>
        </w:p>
        <w:p>
          <w:pPr>
            <w:rPr>
              <w:rFonts w:ascii="Times New Roman" w:hAnsi="Times New Roman" w:eastAsia="宋体" w:cs="Times New Roman"/>
              <w:b/>
              <w:bCs/>
              <w:color w:val="auto"/>
              <w:sz w:val="28"/>
              <w:szCs w:val="32"/>
              <w:highlight w:val="none"/>
              <w:lang w:val="en-US" w:eastAsia="zh-CN" w:bidi="ar-SA"/>
            </w:rPr>
          </w:pPr>
          <w:r>
            <w:rPr>
              <w:rFonts w:ascii="Times New Roman" w:hAnsi="Times New Roman" w:eastAsia="宋体" w:cs="Times New Roman"/>
              <w:b/>
              <w:bCs/>
              <w:color w:val="auto"/>
              <w:sz w:val="28"/>
              <w:szCs w:val="3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20"/>
      <w:r/>
      <w:bookmarkStart w:id="6" w:name="_Toc19798"/>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海安市人民医院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海安市人民医院血滤机采购项目（JSZC-320685-RBGC-C2025-0044）</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海安市人民医院血滤机采购项目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none"/>
          <w:u w:val="single"/>
          <w:lang w:val="en-US" w:eastAsia="zh-CN"/>
        </w:rPr>
        <w:t xml:space="preserve">2025年11月25日13时30分（北京时间）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28359002"/>
      <w:r/>
      <w:bookmarkStart w:id="8" w:name="_Toc28359079"/>
      <w:r/>
      <w:bookmarkStart w:id="9" w:name="_Toc35393790"/>
      <w:r/>
      <w:bookmarkStart w:id="10" w:name="_Toc35393621"/>
      <w:r/>
      <w:bookmarkStart w:id="11" w:name="_Toc38985263"/>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11770"/>
      <w:r/>
      <w:bookmarkStart w:id="14" w:name="_Toc4050"/>
      <w:r/>
      <w:bookmarkStart w:id="15" w:name="_Toc586"/>
      <w:r/>
      <w:bookmarkStart w:id="16" w:name="_Toc6079"/>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JSZC-320685-RBGC-C2025-0044</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海安市人民医院血滤机采购项目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万元</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万元</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28359003"/>
      <w:r/>
      <w:bookmarkStart w:id="18" w:name="_Toc35393622"/>
      <w:r/>
      <w:bookmarkStart w:id="19" w:name="_Toc28359080"/>
      <w:r/>
      <w:bookmarkStart w:id="20" w:name="_Toc38985264"/>
      <w:r/>
      <w:bookmarkStart w:id="21" w:name="_Toc35393791"/>
      <w:r>
        <w:rPr>
          <w:rFonts w:hint="eastAsia" w:ascii="宋体" w:hAnsi="宋体" w:cs="宋体"/>
          <w:color w:val="auto"/>
          <w:sz w:val="24"/>
          <w:szCs w:val="24"/>
          <w:highlight w:val="none"/>
          <w:lang w:val="en-US" w:eastAsia="zh-CN"/>
        </w:rPr>
        <w:t xml:space="preserve">详见竞争性磋商文件</w:t>
      </w:r>
      <w:r/>
    </w:p>
    <w:tbl>
      <w:tblPr>
        <w:tblStyle w:val="1078"/>
        <w:tblpPr w:horzAnchor="page" w:tblpXSpec="center" w:vertAnchor="text" w:tblpY="98"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cs="宋体"/>
                <w:color w:val="auto"/>
                <w:sz w:val="24"/>
                <w:szCs w:val="24"/>
                <w:highlight w:val="none"/>
                <w:lang w:val="en-US" w:eastAsia="zh-CN"/>
              </w:rPr>
              <w:t xml:space="preserve">血滤机</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3台</w:t>
            </w:r>
            <w:r/>
          </w:p>
        </w:tc>
        <w:tc>
          <w:tcPr>
            <w:tcW w:w="1226"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w:t>
            </w:r>
            <w:r/>
          </w:p>
        </w:tc>
        <w:tc>
          <w:tcPr>
            <w:tcW w:w="1320"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否</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是</w:t>
            </w:r>
            <w:r/>
          </w:p>
        </w:tc>
      </w:tr>
    </w:tbl>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合同履行期限：合同签订后30天内交货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30635"/>
      <w:r/>
      <w:bookmarkStart w:id="23" w:name="_Toc1215"/>
      <w:r/>
      <w:bookmarkStart w:id="24" w:name="_Toc28094"/>
      <w:r/>
      <w:bookmarkStart w:id="25" w:name="_Toc25468"/>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28359081"/>
      <w:r/>
      <w:bookmarkStart w:id="27" w:name="_Toc28359004"/>
      <w:r/>
      <w:bookmarkStart w:id="28" w:name="_Toc35393623"/>
      <w:r/>
      <w:bookmarkStart w:id="29" w:name="_Toc35393792"/>
      <w:r/>
      <w:bookmarkStart w:id="30" w:name="_Toc38985265"/>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8824"/>
      <w:r/>
      <w:bookmarkStart w:id="32" w:name="_Toc7517"/>
      <w:r/>
      <w:bookmarkStart w:id="33" w:name="_Toc27405"/>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30614"/>
      <w:r/>
      <w:bookmarkStart w:id="35" w:name="_Toc28888"/>
      <w:r/>
      <w:bookmarkStart w:id="36" w:name="_Toc26023"/>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2023或2024</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23443"/>
      <w:r/>
      <w:bookmarkStart w:id="38" w:name="_Toc19946"/>
      <w:r/>
      <w:bookmarkStart w:id="39" w:name="_Toc10127"/>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val="0"/>
          <w:bCs w:val="0"/>
          <w:color w:val="auto"/>
          <w:sz w:val="24"/>
          <w:szCs w:val="24"/>
          <w:highlight w:val="none"/>
          <w:lang w:val="en-US" w:eastAsia="zh-CN"/>
        </w:rPr>
        <w:outlineLvl w:val="9"/>
      </w:pPr>
      <w:r/>
      <w:bookmarkStart w:id="40" w:name="_Toc23714"/>
      <w:r/>
      <w:bookmarkStart w:id="41" w:name="_Toc6938"/>
      <w:r/>
      <w:bookmarkStart w:id="42" w:name="_Toc24463"/>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lang w:eastAsia="zh-CN"/>
        </w:rPr>
        <w:t xml:space="preserve">：</w:t>
      </w:r>
      <w:bookmarkEnd w:id="40"/>
      <w:r/>
      <w:bookmarkEnd w:id="41"/>
      <w:r/>
      <w:bookmarkEnd w:id="42"/>
      <w:r>
        <w:rPr>
          <w:rFonts w:hint="eastAsia" w:ascii="宋体" w:hAnsi="宋体" w:cs="宋体"/>
          <w:b w:val="0"/>
          <w:bCs w:val="0"/>
          <w:color w:val="auto"/>
          <w:sz w:val="24"/>
          <w:szCs w:val="24"/>
          <w:highlight w:val="none"/>
          <w:lang w:val="en-US" w:eastAsia="zh-CN"/>
        </w:rPr>
        <w:t xml:space="preserve">无</w:t>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878"/>
      <w:r/>
      <w:bookmarkStart w:id="44" w:name="_Toc27013"/>
      <w:r/>
      <w:bookmarkStart w:id="45" w:name="_Toc27584"/>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本投标产品属于医疗器械注册范畴，根据注册的类别，如供应商为经营单位的须具有《医疗器械经营许可证》或者《医疗器械经营备案凭证》；如供应商为生产企业的须提供《医疗器械生产许可证》（复印件）；</w:t>
      </w:r>
      <w:r/>
    </w:p>
    <w:p>
      <w:pPr>
        <w:numPr>
          <w:ilvl w:val="0"/>
          <w:numId w:val="0"/>
        </w:numPr>
        <w:ind w:firstLine="480"/>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2、投标产品须具有《医疗器械注册证》或者《医疗器械备案凭证》（复印件）；</w:t>
      </w:r>
      <w:r/>
    </w:p>
    <w:p>
      <w:pPr>
        <w:numPr>
          <w:ilvl w:val="0"/>
          <w:numId w:val="0"/>
        </w:numPr>
        <w:ind w:firstLine="480"/>
        <w:rPr>
          <w:rFonts w:hint="default"/>
          <w:color w:val="auto"/>
          <w:highlight w:val="none"/>
          <w:lang w:val="en-US" w:eastAsia="zh-CN"/>
        </w:rPr>
        <w:outlineLvl w:val="9"/>
      </w:pPr>
      <w:r>
        <w:rPr>
          <w:rFonts w:hint="eastAsia" w:ascii="宋体" w:hAnsi="宋体" w:cs="Times New Roman"/>
          <w:color w:val="auto"/>
          <w:sz w:val="24"/>
          <w:szCs w:val="24"/>
          <w:highlight w:val="none"/>
          <w:lang w:val="en-US" w:eastAsia="zh-CN"/>
        </w:rPr>
        <w:t xml:space="preserve">3、本项目接受进口产品投标，若投标产品为进口产品，提供产品制造商或其驻中国办事机构或制造商授权的中国境内代理商针对本项目的专项授权书。</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46" w:name="_Toc10444"/>
      <w:r/>
      <w:bookmarkStart w:id="47" w:name="_Toc22987"/>
      <w:r/>
      <w:bookmarkStart w:id="48" w:name="_Toc4289"/>
      <w:r/>
      <w:bookmarkStart w:id="49" w:name="_Toc29194"/>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50" w:name="_Toc28359005"/>
      <w:r/>
      <w:bookmarkStart w:id="51" w:name="_Toc28359082"/>
      <w:r/>
      <w:bookmarkStart w:id="52" w:name="_Toc35393624"/>
      <w:r/>
      <w:bookmarkStart w:id="53" w:name="_Toc38985266"/>
      <w:r/>
      <w:bookmarkStart w:id="54" w:name="_Toc35393793"/>
      <w:r>
        <w:rPr>
          <w:rFonts w:hint="eastAsia" w:ascii="宋体" w:hAnsi="宋体" w:eastAsia="宋体" w:cs="Times New Roman"/>
          <w:color w:val="auto"/>
          <w:sz w:val="24"/>
          <w:szCs w:val="24"/>
          <w:highlight w:val="none"/>
        </w:rPr>
        <w:t xml:space="preserve">1.时间：自</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文件公告发布之日起至2025年</w:t>
      </w:r>
      <w:r>
        <w:rPr>
          <w:rFonts w:hint="eastAsia" w:ascii="宋体" w:hAnsi="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月</w:t>
      </w:r>
      <w:r>
        <w:rPr>
          <w:rFonts w:hint="eastAsia" w:ascii="宋体" w:hAnsi="宋体" w:cs="Times New Roman"/>
          <w:color w:val="auto"/>
          <w:sz w:val="24"/>
          <w:szCs w:val="24"/>
          <w:highlight w:val="none"/>
          <w:lang w:val="en-US" w:eastAsia="zh-CN"/>
        </w:rPr>
        <w:t xml:space="preserve">17</w:t>
      </w:r>
      <w:r>
        <w:rPr>
          <w:rFonts w:hint="eastAsia" w:ascii="宋体" w:hAnsi="宋体" w:eastAsia="宋体" w:cs="Times New Roman"/>
          <w:color w:val="auto"/>
          <w:sz w:val="24"/>
          <w:szCs w:val="24"/>
          <w:highlight w:val="none"/>
        </w:rPr>
        <w:t xml:space="preserve">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3650"/>
      <w:r/>
      <w:bookmarkStart w:id="56" w:name="_Toc24114"/>
      <w:r/>
      <w:bookmarkStart w:id="57" w:name="_Toc21277"/>
      <w:r/>
      <w:bookmarkStart w:id="58" w:name="_Toc14930"/>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none"/>
          <w:u w:val="single"/>
          <w:lang w:val="en-US" w:eastAsia="zh-CN"/>
        </w:rPr>
        <w:t xml:space="preserve">2025年11月25日13时30分（北京时间）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1</w:t>
      </w:r>
      <w:r>
        <w:rPr>
          <w:rFonts w:hint="eastAsia" w:ascii="宋体" w:hAnsi="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分钟</w:t>
      </w:r>
      <w:r>
        <w:rPr>
          <w:rFonts w:hint="eastAsia" w:ascii="宋体" w:hAnsi="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28359084"/>
      <w:r/>
      <w:bookmarkStart w:id="61" w:name="_Toc35393625"/>
      <w:r/>
      <w:bookmarkStart w:id="62" w:name="_Toc35393794"/>
      <w:r/>
      <w:bookmarkStart w:id="63" w:name="_Toc38985267"/>
      <w:r/>
      <w:bookmarkStart w:id="64" w:name="_Toc28359007"/>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4619"/>
      <w:r/>
      <w:bookmarkStart w:id="66" w:name="_Toc28745"/>
      <w:r/>
      <w:bookmarkStart w:id="67" w:name="_Toc13559"/>
      <w:r/>
      <w:bookmarkStart w:id="68" w:name="_Toc20933"/>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8985268"/>
      <w:r/>
      <w:bookmarkStart w:id="70" w:name="_Toc35393795"/>
      <w:r/>
      <w:bookmarkStart w:id="71" w:name="_Toc35393626"/>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22029"/>
      <w:r/>
      <w:bookmarkStart w:id="73" w:name="_Toc31138"/>
      <w:r/>
      <w:bookmarkStart w:id="74" w:name="_Toc3992"/>
      <w:r/>
      <w:bookmarkStart w:id="75" w:name="_Toc1922"/>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28359085"/>
      <w:r/>
      <w:bookmarkStart w:id="78" w:name="_Toc38985269"/>
      <w:r/>
      <w:bookmarkStart w:id="79" w:name="_Toc28359008"/>
      <w:r/>
      <w:bookmarkStart w:id="80" w:name="_Toc35393627"/>
      <w:r/>
      <w:bookmarkStart w:id="81" w:name="_Toc35393796"/>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31707"/>
      <w:r/>
      <w:bookmarkStart w:id="83" w:name="_Toc14095"/>
      <w:r/>
      <w:bookmarkStart w:id="84" w:name="_Toc6796"/>
      <w:r/>
      <w:bookmarkStart w:id="85" w:name="_Toc21311"/>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87"/>
      <w:r/>
      <w:bookmarkStart w:id="87" w:name="_Toc28359010"/>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numPr>
          <w:ilvl w:val="0"/>
          <w:numId w:val="0"/>
        </w:numPr>
        <w:ind w:firstLine="480"/>
        <w:jc w:val="left"/>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val="en-US" w:eastAsia="zh-CN"/>
        </w:rPr>
        <w:t xml:space="preserve">海安市人民医院</w:t>
      </w:r>
      <w:r/>
    </w:p>
    <w:p>
      <w:pPr>
        <w:numPr>
          <w:ilvl w:val="0"/>
          <w:numId w:val="0"/>
        </w:numPr>
        <w:ind w:firstLine="480"/>
        <w:jc w:val="left"/>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rPr>
        <w:t xml:space="preserve">海安市中坝中路17号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color w:val="auto"/>
          <w:sz w:val="24"/>
          <w:szCs w:val="24"/>
          <w:highlight w:val="none"/>
        </w:rPr>
        <w:t xml:space="preserve">朱老师</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联系方式：0513-88906680</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地址：南京市鼓楼区中央路19号金峰大厦1909室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 ：潘永刚</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15189824621</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莫金丽、杜淑娴、潘保婕</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5935"/>
      <w:r/>
      <w:bookmarkStart w:id="92" w:name="_Toc7813"/>
      <w:r/>
      <w:bookmarkStart w:id="93" w:name="_Toc1744"/>
      <w:r/>
      <w:bookmarkStart w:id="94" w:name="_Toc19964"/>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1081"/>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2025年11月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rPr>
        <w:t xml:space="preserve"> </w:t>
      </w:r>
      <w:bookmarkEnd w:id="96"/>
      <w:r/>
      <w:bookmarkStart w:id="97" w:name="_Toc18360"/>
      <w:r/>
      <w:bookmarkStart w:id="98" w:name="_Toc26429"/>
      <w:r/>
      <w:bookmarkStart w:id="99" w:name="_Toc29672"/>
      <w:r/>
      <w:bookmarkStart w:id="100" w:name="_Toc16974"/>
      <w:r/>
      <w:bookmarkStart w:id="101" w:name="_Toc4982"/>
      <w:r/>
      <w:bookmarkStart w:id="102" w:name="_Toc2128"/>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6127"/>
      <w:r/>
      <w:bookmarkStart w:id="104" w:name="_Toc5404"/>
      <w:r/>
      <w:bookmarkStart w:id="105" w:name="_Toc31447"/>
      <w:r/>
      <w:bookmarkStart w:id="106" w:name="_Toc19241"/>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1083"/>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094"/>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65"/>
        <w:gridCol w:w="6878"/>
      </w:tblGrid>
      <w:tr>
        <w:trPr>
          <w:jc w:val="center"/>
          <w:trHeight w:val="375"/>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080"/>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098"/>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
                <w:bCs w:val="0"/>
                <w:color w:val="auto"/>
                <w:sz w:val="24"/>
                <w:szCs w:val="24"/>
                <w:highlight w:val="none"/>
                <w:u w:val="single"/>
                <w:lang w:val="en-US" w:eastAsia="zh-CN"/>
              </w:rPr>
              <w:t xml:space="preserve">海安市人民医院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海安市人民医院血滤机采购项目</w:t>
            </w:r>
            <w:r/>
          </w:p>
        </w:tc>
      </w:tr>
      <w:tr>
        <w:trPr>
          <w:jc w:val="center"/>
          <w:trHeight w:val="1119"/>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p>
          <w:p>
            <w:pPr>
              <w:pStyle w:val="1080"/>
              <w:ind w:firstLine="482"/>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w:t>
            </w:r>
            <w:r>
              <w:rPr>
                <w:rFonts w:hint="eastAsia" w:ascii="宋体" w:hAnsi="宋体" w:eastAsia="宋体" w:cs="宋体"/>
                <w:color w:val="auto"/>
                <w:sz w:val="24"/>
                <w:szCs w:val="24"/>
                <w:highlight w:val="none"/>
                <w:lang w:val="en-US" w:eastAsia="zh-CN" w:bidi="ar-SA"/>
              </w:rPr>
              <w:t xml:space="preserve">，核心产品为：</w:t>
            </w:r>
            <w:r>
              <w:rPr>
                <w:rFonts w:hint="eastAsia" w:ascii="宋体" w:hAnsi="宋体" w:eastAsia="宋体" w:cs="宋体"/>
                <w:color w:val="auto"/>
                <w:sz w:val="24"/>
                <w:szCs w:val="24"/>
                <w:highlight w:val="none"/>
                <w:u w:val="single"/>
                <w:lang w:val="en-US" w:eastAsia="zh-CN" w:bidi="ar-SA"/>
              </w:rPr>
              <w:t xml:space="preserve">       </w:t>
            </w:r>
            <w:r/>
          </w:p>
          <w:p>
            <w:pPr>
              <w:pStyle w:val="1080"/>
              <w:ind w:left="0"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098"/>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098"/>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080"/>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108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080"/>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080"/>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eastAsia="宋体" w:cs="宋体"/>
                <w:b/>
                <w:bCs/>
                <w:color w:val="auto"/>
                <w:sz w:val="24"/>
                <w:szCs w:val="24"/>
                <w:highlight w:val="none"/>
                <w:u w:val="single"/>
                <w:lang w:val="en-US" w:eastAsia="zh-CN" w:bidi="ar-SA"/>
              </w:rPr>
              <w:t xml:space="preserve">详见磋商公告</w:t>
            </w:r>
            <w:r/>
          </w:p>
        </w:tc>
      </w:tr>
      <w:tr>
        <w:trPr>
          <w:jc w:val="center"/>
          <w:trHeight w:val="1615"/>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val="0"/>
                <w:bCs w:val="0"/>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single"/>
                <w:lang w:val="en-US" w:eastAsia="zh-CN" w:bidi="ar-SA"/>
              </w:rPr>
              <w:t xml:space="preserve">£</w:t>
            </w:r>
            <w:r>
              <w:rPr>
                <w:rFonts w:hint="eastAsia" w:ascii="宋体" w:hAnsi="宋体" w:eastAsia="宋体" w:cs="宋体"/>
                <w:b w:val="0"/>
                <w:bCs w:val="0"/>
                <w:color w:val="auto"/>
                <w:sz w:val="24"/>
                <w:szCs w:val="24"/>
                <w:highlight w:val="none"/>
                <w:u w:val="single"/>
                <w:lang w:val="en-US" w:eastAsia="zh-CN" w:bidi="ar-SA"/>
              </w:rPr>
              <w:t xml:space="preserve">A本项目不接受进口产品。</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w:t>
            </w:r>
            <w:r>
              <w:rPr>
                <w:rFonts w:hint="eastAsia" w:ascii="宋体" w:hAnsi="宋体" w:cs="宋体"/>
                <w:b/>
                <w:bCs/>
                <w:color w:val="auto"/>
                <w:sz w:val="24"/>
                <w:szCs w:val="24"/>
                <w:highlight w:val="none"/>
                <w:lang w:val="en-US" w:eastAsia="zh-CN" w:bidi="ar-SA"/>
              </w:rPr>
              <w:t xml:space="preserve">接受</w:t>
            </w:r>
            <w:r>
              <w:rPr>
                <w:rFonts w:hint="eastAsia" w:ascii="宋体" w:hAnsi="宋体" w:eastAsia="宋体" w:cs="宋体"/>
                <w:b/>
                <w:bCs/>
                <w:color w:val="auto"/>
                <w:sz w:val="24"/>
                <w:szCs w:val="24"/>
                <w:highlight w:val="none"/>
                <w:lang w:val="en-US" w:eastAsia="zh-CN" w:bidi="ar-SA"/>
              </w:rPr>
              <w:t xml:space="preserve">进口产品</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 xml:space="preserve">A是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rPr>
              <w:t xml:space="preserve">B否</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eastAsia="宋体" w:cs="宋体"/>
                <w:b/>
                <w:bCs/>
                <w:color w:val="auto"/>
                <w:sz w:val="24"/>
                <w:szCs w:val="24"/>
                <w:highlight w:val="none"/>
                <w:u w:val="single"/>
                <w:lang w:val="en-US" w:eastAsia="zh-CN"/>
              </w:rPr>
              <w:t xml:space="preserve">货物（工业）</w:t>
            </w:r>
            <w:r>
              <w:rPr>
                <w:rFonts w:hint="eastAsia" w:ascii="宋体" w:hAnsi="宋体" w:eastAsia="宋体" w:cs="宋体"/>
                <w:b/>
                <w:bCs/>
                <w:color w:val="auto"/>
                <w:sz w:val="24"/>
                <w:szCs w:val="24"/>
                <w:highlight w:val="none"/>
                <w:u w:val="none"/>
                <w:lang w:val="en-US" w:eastAsia="zh-CN"/>
              </w:rPr>
              <w:t xml:space="preserve">。</w:t>
            </w:r>
            <w:r/>
          </w:p>
        </w:tc>
      </w:tr>
      <w:tr>
        <w:trPr>
          <w:jc w:val="center"/>
          <w:trHeight w:val="291"/>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080"/>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80"/>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080"/>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080"/>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80"/>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080"/>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080"/>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80"/>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080"/>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080"/>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080"/>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C按照《江苏省招标代理服务收费的指导意见》（苏招协〔2022〕2号）</w:t>
            </w:r>
            <w:r>
              <w:rPr>
                <w:rFonts w:hint="eastAsia" w:ascii="宋体" w:hAnsi="宋体" w:cs="宋体"/>
                <w:b/>
                <w:bCs/>
                <w:color w:val="auto"/>
                <w:sz w:val="24"/>
                <w:szCs w:val="24"/>
                <w:highlight w:val="none"/>
                <w:lang w:val="en-US" w:eastAsia="zh-CN" w:bidi="ar-SA"/>
              </w:rPr>
              <w:t xml:space="preserve">的80%</w:t>
            </w:r>
            <w:r>
              <w:rPr>
                <w:rFonts w:hint="eastAsia" w:ascii="宋体" w:hAnsi="宋体" w:eastAsia="宋体" w:cs="宋体"/>
                <w:b/>
                <w:bCs/>
                <w:color w:val="auto"/>
                <w:sz w:val="24"/>
                <w:szCs w:val="24"/>
                <w:highlight w:val="none"/>
                <w:lang w:val="en-US" w:eastAsia="zh-CN" w:bidi="ar-SA"/>
              </w:rPr>
              <w:t xml:space="preserve">收取；</w:t>
            </w:r>
            <w:r/>
          </w:p>
          <w:p>
            <w:pPr>
              <w:pStyle w:val="1080"/>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D其他方式：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080"/>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080"/>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tc>
      </w:tr>
    </w:tbl>
    <w:p>
      <w:pPr>
        <w:pageBreakBefore w:val="0"/>
        <w:spacing w:line="240" w:lineRule="auto"/>
        <w:rPr>
          <w:rFonts w:hint="eastAsia" w:ascii="Times New Roman" w:hAnsi="Times New Roman"/>
          <w:b/>
          <w:bCs/>
          <w:color w:val="auto"/>
          <w:sz w:val="32"/>
          <w:szCs w:val="32"/>
          <w:highlight w:val="none"/>
        </w:rPr>
      </w:pPr>
      <w:r/>
      <w:bookmarkStart w:id="107" w:name="_Toc120614214"/>
      <w:r/>
      <w:bookmarkStart w:id="108" w:name="_Toc16938519"/>
      <w:r/>
      <w:bookmarkStart w:id="109" w:name="_Toc513029203"/>
      <w:r/>
      <w:bookmarkStart w:id="110" w:name="_Toc20823275"/>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0601"/>
      <w:r/>
      <w:bookmarkStart w:id="112" w:name="_Toc28893"/>
      <w:r/>
      <w:bookmarkStart w:id="113" w:name="_Toc24311"/>
      <w:r/>
      <w:bookmarkStart w:id="114" w:name="_Toc20048"/>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513029204"/>
      <w:r/>
      <w:bookmarkStart w:id="118" w:name="_Toc14209"/>
      <w:r/>
      <w:bookmarkStart w:id="119" w:name="_Toc16938520"/>
      <w:r/>
      <w:bookmarkStart w:id="120" w:name="_Toc20823276"/>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513029205"/>
      <w:r/>
      <w:bookmarkStart w:id="122" w:name="_Toc16938521"/>
      <w:r/>
      <w:bookmarkStart w:id="123" w:name="_Toc20823277"/>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20823278"/>
      <w:r/>
      <w:bookmarkStart w:id="126" w:name="_Toc16938522"/>
      <w:r/>
      <w:bookmarkStart w:id="127" w:name="_Toc513029206"/>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 </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 工业和信息化部办公厅关于印发《政府采购支持绿色建材促进建筑品质提升政策项目实施指南》的通知（财办库〔2023〕52号）规定的需求标准。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2" w:name="_Toc16938523"/>
      <w:r/>
      <w:bookmarkStart w:id="133" w:name="_Toc20823279"/>
      <w:r/>
      <w:bookmarkStart w:id="134" w:name="_Toc18163"/>
      <w:r/>
      <w:bookmarkStart w:id="135" w:name="_Toc513029207"/>
      <w:r/>
      <w:bookmarkStart w:id="136" w:name="_Toc462564067"/>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本项目不收取标书工本费，自行下载采购文件。</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20823281"/>
      <w:r/>
      <w:bookmarkStart w:id="139" w:name="_Toc120614215"/>
      <w:r/>
      <w:bookmarkStart w:id="140" w:name="_Toc513029209"/>
      <w:r/>
      <w:bookmarkStart w:id="141" w:name="_Toc16938525"/>
      <w:r/>
      <w:bookmarkStart w:id="142" w:name="_Toc11074"/>
      <w:r/>
      <w:bookmarkStart w:id="143" w:name="_Toc6902"/>
      <w:r/>
      <w:bookmarkStart w:id="144" w:name="_Toc2844"/>
      <w:r/>
      <w:bookmarkStart w:id="145" w:name="_Toc535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16938526"/>
      <w:r/>
      <w:bookmarkStart w:id="147" w:name="_Toc20823282"/>
      <w:r/>
      <w:bookmarkStart w:id="148" w:name="_Toc30434"/>
      <w:r/>
      <w:bookmarkStart w:id="149" w:name="_Toc513029210"/>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462564070"/>
      <w:r/>
      <w:bookmarkStart w:id="152" w:name="_Toc20823283"/>
      <w:r/>
      <w:bookmarkStart w:id="153" w:name="_Toc513029211"/>
      <w:r/>
      <w:bookmarkStart w:id="154" w:name="_Toc16938527"/>
      <w:r/>
      <w:bookmarkEnd w:id="151"/>
      <w:r/>
      <w:bookmarkEnd w:id="152"/>
      <w:r/>
      <w:bookmarkEnd w:id="153"/>
      <w:r/>
      <w:bookmarkEnd w:id="15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17904"/>
      <w:r/>
      <w:bookmarkStart w:id="156" w:name="_Toc462564072"/>
      <w:r/>
      <w:bookmarkStart w:id="157" w:name="_Toc1582"/>
      <w:r/>
      <w:bookmarkStart w:id="158" w:name="_Toc120614216"/>
      <w:r/>
      <w:bookmarkStart w:id="159" w:name="_Toc20823285"/>
      <w:r/>
      <w:bookmarkStart w:id="160" w:name="_Toc139"/>
      <w:r/>
      <w:bookmarkStart w:id="161" w:name="_Toc513029213"/>
      <w:r/>
      <w:bookmarkStart w:id="162" w:name="_Toc30442"/>
      <w:r/>
      <w:bookmarkStart w:id="163" w:name="_Toc16938529"/>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lang w:val="en-US" w:eastAsia="zh-CN"/>
        </w:rPr>
        <w:t xml:space="preserve">磋商文件的澄清和修改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招标公告的同一媒体上发布， 澄清或者修改的内容作为磋商文件的组成部分。</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发布书面更正公告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如澄清或修改公告有重新发布</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16938530"/>
      <w:r/>
      <w:bookmarkStart w:id="165" w:name="_Toc9853"/>
      <w:r/>
      <w:bookmarkStart w:id="166" w:name="_Toc462564073"/>
      <w:r/>
      <w:bookmarkStart w:id="167" w:name="_Toc20823286"/>
      <w:r/>
      <w:bookmarkStart w:id="168" w:name="_Toc513029214"/>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462564074"/>
      <w:r/>
      <w:bookmarkStart w:id="170" w:name="_Toc12994"/>
      <w:r/>
      <w:bookmarkStart w:id="171" w:name="_Toc20823287"/>
      <w:r/>
      <w:bookmarkStart w:id="172" w:name="_Toc513029215"/>
      <w:r/>
      <w:bookmarkStart w:id="173" w:name="_Toc16938531"/>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eastAsia="宋体" w:cs="Times New Roman"/>
          <w:b/>
          <w:bCs w:val="0"/>
          <w:color w:val="auto"/>
          <w:sz w:val="24"/>
          <w:szCs w:val="24"/>
          <w:highlight w:val="none"/>
          <w:u w:val="single"/>
        </w:rPr>
        <w:t xml:space="preserve">商务响应承诺</w:t>
      </w:r>
      <w:r>
        <w:rPr>
          <w:rFonts w:hint="eastAsia" w:ascii="宋体" w:hAnsi="宋体" w:eastAsia="宋体" w:cs="Times New Roman"/>
          <w:b/>
          <w:bCs w:val="0"/>
          <w:color w:val="auto"/>
          <w:sz w:val="24"/>
          <w:szCs w:val="24"/>
          <w:highlight w:val="none"/>
          <w:u w:val="single"/>
          <w:lang w:val="en-US" w:eastAsia="zh-CN"/>
        </w:rPr>
        <w:t xml:space="preserve">函</w:t>
      </w:r>
      <w:r>
        <w:rPr>
          <w:rFonts w:hint="eastAsia" w:ascii="宋体" w:hAnsi="宋体"/>
          <w:b/>
          <w:bCs/>
          <w:color w:val="auto"/>
          <w:sz w:val="24"/>
          <w:szCs w:val="21"/>
          <w:highlight w:val="none"/>
          <w:u w:val="single"/>
        </w:rPr>
        <w:t xml:space="preserve">、其他证明文件、磋商响应函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668975"/>
      <w:r/>
      <w:bookmarkEnd w:id="174"/>
      <w:r/>
      <w:bookmarkStart w:id="175" w:name="_Hlt26670360"/>
      <w:r/>
      <w:bookmarkEnd w:id="175"/>
      <w:r/>
      <w:bookmarkStart w:id="176" w:name="_Hlt26954838"/>
      <w:r/>
      <w:bookmarkEnd w:id="176"/>
      <w:r/>
      <w:bookmarkStart w:id="177" w:name="_Toc16278"/>
      <w:r/>
      <w:bookmarkStart w:id="178" w:name="_Toc14577357"/>
      <w:r/>
      <w:bookmarkStart w:id="179" w:name="_Toc49090509"/>
      <w:r/>
      <w:bookmarkStart w:id="180" w:name="_Toc513029219"/>
      <w:r/>
      <w:bookmarkStart w:id="181" w:name="_Toc49090507"/>
      <w:r/>
      <w:bookmarkStart w:id="182" w:name="_Toc14577354"/>
      <w:r/>
      <w:bookmarkStart w:id="183" w:name="_Toc513029216"/>
      <w:r/>
      <w:bookmarkStart w:id="184" w:name="_Toc49090508"/>
      <w:r/>
      <w:bookmarkStart w:id="185" w:name="_Toc1457735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r/>
      <w:bookmarkEnd w:id="182"/>
      <w:r/>
      <w:bookmarkEnd w:id="183"/>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r/>
      <w:bookmarkEnd w:id="18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954846"/>
      <w:r/>
      <w:bookmarkEnd w:id="187"/>
      <w:r/>
      <w:bookmarkStart w:id="188" w:name="_Hlt26670482"/>
      <w:r/>
      <w:bookmarkEnd w:id="188"/>
      <w:r/>
      <w:bookmarkStart w:id="189" w:name="_Hlt26670486"/>
      <w:r/>
      <w:bookmarkEnd w:id="189"/>
      <w:r/>
      <w:bookmarkStart w:id="190" w:name="_Hlt26954848"/>
      <w:r/>
      <w:bookmarkEnd w:id="190"/>
      <w:r/>
      <w:bookmarkStart w:id="191" w:name="_Hlt26954731"/>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技术部分正负偏离表、</w:t>
      </w:r>
      <w:r>
        <w:rPr>
          <w:rFonts w:hint="eastAsia" w:ascii="宋体" w:hAnsi="宋体" w:cs="宋体"/>
          <w:b/>
          <w:bCs/>
          <w:color w:val="auto"/>
          <w:sz w:val="28"/>
          <w:szCs w:val="28"/>
          <w:highlight w:val="none"/>
          <w:lang w:eastAsia="zh-CN"/>
        </w:rPr>
        <w:t xml:space="preserve">商务响应承诺函</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ind w:firstLine="480"/>
        <w:pageBreakBefore w:val="0"/>
        <w:spacing w:line="240" w:lineRule="auto"/>
        <w:widowControl w:val="off"/>
        <w:rPr>
          <w:rFonts w:hint="eastAsia" w:ascii="宋体" w:hAnsi="宋体" w:eastAsia="宋体" w:cs="Times New Roman"/>
          <w:b/>
          <w:bCs/>
          <w:color w:val="auto"/>
          <w:sz w:val="24"/>
          <w:szCs w:val="24"/>
          <w:highlight w:val="none"/>
          <w:u w:val="single"/>
          <w:lang w:val="en-US" w:eastAsia="zh-CN"/>
        </w:rPr>
        <w:outlineLvl w:val="9"/>
      </w:pPr>
      <w:r>
        <w:rPr>
          <w:rFonts w:hint="eastAsia" w:ascii="宋体" w:hAnsi="宋体" w:cs="Times New Roman"/>
          <w:color w:val="auto"/>
          <w:sz w:val="24"/>
          <w:szCs w:val="24"/>
          <w:highlight w:val="none"/>
          <w:lang w:val="en-US" w:eastAsia="zh-CN"/>
        </w:rPr>
        <w:t xml:space="preserve">13.6 </w:t>
      </w:r>
      <w:r>
        <w:rPr>
          <w:rFonts w:hint="eastAsia" w:ascii="宋体" w:hAnsi="宋体" w:cs="Times New Roman"/>
          <w:b/>
          <w:bCs/>
          <w:color w:val="auto"/>
          <w:sz w:val="24"/>
          <w:szCs w:val="24"/>
          <w:highlight w:val="none"/>
          <w:u w:val="single"/>
          <w:lang w:val="en-US" w:eastAsia="zh-CN"/>
        </w:rPr>
        <w:t xml:space="preserve">供应商应全部满足磋商文件《第三章：采购需求》和第四章合同条款中所有的商务要求，并出具相应的商务要求响应承诺书。</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14577359"/>
      <w:r/>
      <w:bookmarkStart w:id="196" w:name="_Toc4909051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95"/>
      <w:r/>
      <w:bookmarkEnd w:id="19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49090511"/>
      <w:r/>
      <w:bookmarkStart w:id="198" w:name="_Toc14577360"/>
      <w:r/>
      <w:bookmarkStart w:id="199" w:name="_Toc1894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852"/>
      <w:r/>
      <w:bookmarkEnd w:id="201"/>
      <w:r/>
      <w:bookmarkStart w:id="202" w:name="_Hlt26954739"/>
      <w:r/>
      <w:bookmarkEnd w:id="202"/>
      <w:r/>
      <w:bookmarkStart w:id="203" w:name="_Toc12140"/>
      <w:r/>
      <w:bookmarkStart w:id="204" w:name="_Toc16938540"/>
      <w:r/>
      <w:bookmarkStart w:id="205" w:name="_Toc513029224"/>
      <w:r/>
      <w:bookmarkStart w:id="206" w:name="_Toc120614217"/>
      <w:r/>
      <w:bookmarkStart w:id="207" w:name="_Toc19822"/>
      <w:r/>
      <w:bookmarkStart w:id="208" w:name="_Toc27479"/>
      <w:r/>
      <w:bookmarkStart w:id="209" w:name="_Toc635"/>
      <w:r/>
      <w:bookmarkStart w:id="210" w:name="_Toc20823296"/>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513029225"/>
      <w:r/>
      <w:bookmarkStart w:id="212" w:name="_Toc16938541"/>
      <w:r/>
      <w:bookmarkStart w:id="213" w:name="_Toc462564084"/>
      <w:r/>
      <w:bookmarkStart w:id="214" w:name="_Toc20823297"/>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20823298"/>
      <w:r/>
      <w:bookmarkStart w:id="217" w:name="_Toc16938542"/>
      <w:r/>
      <w:bookmarkStart w:id="218" w:name="_Toc51302922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网络环境、网络带宽等风险因素，如因供应商自身原因造成的电子响应文件上传不成功的按照无效响应处理。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16938543"/>
      <w:r/>
      <w:bookmarkStart w:id="221" w:name="_Toc513029227"/>
      <w:r/>
      <w:bookmarkStart w:id="222" w:name="_Toc20823299"/>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513029228"/>
      <w:r/>
      <w:bookmarkStart w:id="225" w:name="_Toc16938544"/>
      <w:r/>
      <w:bookmarkStart w:id="226" w:name="_Toc20823300"/>
      <w:r/>
      <w:bookmarkStart w:id="227" w:name="_Toc3225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20823301"/>
      <w:r/>
      <w:bookmarkStart w:id="229" w:name="_Toc18977"/>
      <w:r/>
      <w:bookmarkStart w:id="230" w:name="_Toc120614218"/>
      <w:r/>
      <w:bookmarkStart w:id="231" w:name="_Toc513029229"/>
      <w:r/>
      <w:bookmarkStart w:id="232" w:name="_Toc15535"/>
      <w:r/>
      <w:bookmarkStart w:id="233" w:name="_Toc1427"/>
      <w:r/>
      <w:bookmarkStart w:id="234" w:name="_Toc949"/>
      <w:r/>
      <w:bookmarkStart w:id="235" w:name="_Toc16938545"/>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513029230"/>
      <w:r/>
      <w:bookmarkStart w:id="237" w:name="_Toc16938546"/>
      <w:r/>
      <w:bookmarkStart w:id="238" w:name="_Toc20823302"/>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eastAsia="宋体" w:cs="宋体"/>
          <w:b/>
          <w:bCs/>
          <w:color w:val="auto"/>
          <w:sz w:val="28"/>
          <w:szCs w:val="28"/>
          <w:highlight w:val="none"/>
        </w:rPr>
        <w:t xml:space="preserve">响应文件解密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513029231"/>
      <w:r/>
      <w:bookmarkStart w:id="242" w:name="_Toc20823303"/>
      <w:r/>
      <w:bookmarkStart w:id="243" w:name="_Toc16938547"/>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w:t>
      </w:r>
      <w:r>
        <w:rPr>
          <w:rFonts w:hint="eastAsia" w:ascii="宋体" w:hAnsi="宋体" w:cs="Times New Roman"/>
          <w:color w:val="auto"/>
          <w:sz w:val="24"/>
          <w:szCs w:val="24"/>
          <w:highlight w:val="none"/>
        </w:rPr>
        <w:t xml:space="preserve">超过公开招标限额标准的项目，磋商小组应当由5人以上单数组成。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bookmarkEnd w:id="241"/>
      <w:r/>
      <w:bookmarkEnd w:id="242"/>
      <w:r/>
      <w:bookmarkEnd w:id="24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w:t>
      </w:r>
      <w:r>
        <w:rPr>
          <w:rFonts w:hint="eastAsia" w:ascii="宋体" w:hAnsi="宋体"/>
          <w:color w:val="auto"/>
          <w:sz w:val="24"/>
          <w:szCs w:val="24"/>
          <w:highlight w:val="none"/>
        </w:rPr>
        <w:t xml:space="preserve">无效响应文件。</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20823304"/>
      <w:r/>
      <w:bookmarkStart w:id="246" w:name="_Toc25137"/>
      <w:r/>
      <w:bookmarkStart w:id="247" w:name="_Toc16938548"/>
      <w:r/>
      <w:bookmarkStart w:id="248" w:name="_Toc51302923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有助于对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20823305"/>
      <w:r/>
      <w:bookmarkStart w:id="250" w:name="_Toc513029233"/>
      <w:r/>
      <w:bookmarkStart w:id="251" w:name="_Toc16938549"/>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联合体成员中任何一方存在不良信用记录的，视同联合体存在不良应用记录。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磋商小组将对确定为实质性响应的文件进行进一步审核，看其是否有计算上或累加上的算术错误，修正错误的原则如下：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w:t>
      </w:r>
      <w:r>
        <w:rPr>
          <w:rFonts w:hint="eastAsia" w:ascii="宋体" w:hAnsi="宋体" w:eastAsia="宋体" w:cs="Times New Roman"/>
          <w:color w:val="auto"/>
          <w:sz w:val="24"/>
          <w:szCs w:val="24"/>
          <w:highlight w:val="none"/>
        </w:rPr>
        <w:t xml:space="preserve">响应文件中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w:t>
      </w:r>
      <w:r>
        <w:rPr>
          <w:rFonts w:hint="eastAsia" w:ascii="宋体" w:hAnsi="宋体" w:eastAsia="宋体" w:cs="Times New Roman"/>
          <w:color w:val="auto"/>
          <w:sz w:val="24"/>
          <w:szCs w:val="24"/>
          <w:highlight w:val="none"/>
        </w:rPr>
        <w:t xml:space="preserve">大写金额和小写金额不一致的，以大写金额为准。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w:t>
      </w:r>
      <w:r>
        <w:rPr>
          <w:rFonts w:hint="eastAsia" w:ascii="宋体" w:hAnsi="宋体" w:eastAsia="宋体" w:cs="Times New Roman"/>
          <w:color w:val="auto"/>
          <w:sz w:val="24"/>
          <w:szCs w:val="24"/>
          <w:highlight w:val="none"/>
        </w:rPr>
        <w:t xml:space="preserve">单价金额小数点或者百分比有明显错位的，以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w:t>
      </w:r>
      <w:r>
        <w:rPr>
          <w:rFonts w:hint="eastAsia" w:ascii="宋体" w:hAnsi="宋体" w:eastAsia="宋体" w:cs="Times New Roman"/>
          <w:color w:val="auto"/>
          <w:sz w:val="24"/>
          <w:szCs w:val="24"/>
          <w:highlight w:val="none"/>
        </w:rPr>
        <w:t xml:space="preserve">总价金额与按单价汇总金额不一致的，以单价金额计算结果为准。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val="en-US" w:eastAsia="zh-CN"/>
        </w:rPr>
        <w:t xml:space="preserve">磋商小组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20823306"/>
      <w:r/>
      <w:bookmarkStart w:id="254" w:name="_Toc513029234"/>
      <w:r/>
      <w:bookmarkStart w:id="255" w:name="_Toc16938550"/>
      <w:r>
        <w:rPr>
          <w:rFonts w:hint="eastAsia" w:ascii="宋体" w:hAnsi="宋体" w:cs="Times New Roman"/>
          <w:color w:val="auto"/>
          <w:sz w:val="24"/>
          <w:szCs w:val="24"/>
          <w:highlight w:val="none"/>
          <w:lang w:val="en-US" w:eastAsia="zh-CN"/>
        </w:rPr>
        <w:t xml:space="preserve">26.6提供相同品牌产品且通过资格审查、符合性审查的不同供应商参加同一合同项下投标的，按一家供应商计算，评审后得分最高的同品牌供应商获得成交供应商推荐资格；评审得分相同的，由磋商小组根据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供应商在项目评审全过程中应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27.有下列情形之一的，视为供应商串通投标：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27.1不同供应商的响应文件由同一单位或者个人编制；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27.2不同供应商委托同一单位或者个人办理磋商事宜；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27.3不同供应商的响应文件载明的项目管理成员或者联系人员为同一人；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27.4不同供应商的响应文件异常一致或者磋商报价呈规律性差异；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27.5不同供应商的响应文件经系统查询Mac地址、标书制作工具客户端标识码相同或部分相同（符合本条款不同的供应商不得参加本项目的后续采购事项，并移送政府采购监管部门进行处理）。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不同供应商的响应文件经系统查询互联网协议地址（IP地址）相同，经磋商小组认定符合串标情形的（符合本条款不同的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w:t>
      </w:r>
      <w:r>
        <w:rPr>
          <w:rFonts w:hint="eastAsia" w:ascii="宋体" w:hAnsi="宋体" w:eastAsia="宋体" w:cs="Times New Roman"/>
          <w:b/>
          <w:bCs/>
          <w:color w:val="auto"/>
          <w:sz w:val="28"/>
          <w:szCs w:val="28"/>
          <w:highlight w:val="none"/>
          <w:lang w:val="en-US" w:eastAsia="zh-CN"/>
        </w:rPr>
        <w:t xml:space="preserve">无效投标条款和废标条款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.1无效投标条款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w:t>
      </w:r>
      <w:r>
        <w:rPr>
          <w:rFonts w:hint="eastAsia" w:ascii="宋体" w:hAnsi="宋体" w:eastAsia="宋体" w:cs="Times New Roman"/>
          <w:color w:val="auto"/>
          <w:sz w:val="24"/>
          <w:szCs w:val="24"/>
          <w:highlight w:val="none"/>
          <w:lang w:val="en-US" w:eastAsia="zh-CN"/>
        </w:rPr>
        <w:t xml:space="preserve">供应商在苏采云系统规定的时间内未成功解密电子响应文件的。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的或上传的文件打不开的。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w:t>
      </w:r>
      <w:r>
        <w:rPr>
          <w:rFonts w:hint="eastAsia" w:ascii="宋体" w:hAnsi="宋体" w:eastAsia="宋体" w:cs="Times New Roman"/>
          <w:color w:val="auto"/>
          <w:sz w:val="24"/>
          <w:szCs w:val="24"/>
          <w:highlight w:val="none"/>
          <w:lang w:val="en-US" w:eastAsia="zh-CN"/>
        </w:rPr>
        <w:t xml:space="preserve">同一</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w:t>
      </w:r>
      <w:r>
        <w:rPr>
          <w:rFonts w:hint="eastAsia" w:ascii="宋体" w:hAnsi="宋体" w:eastAsia="宋体" w:cs="Times New Roman"/>
          <w:color w:val="auto"/>
          <w:sz w:val="24"/>
          <w:szCs w:val="24"/>
          <w:highlight w:val="none"/>
          <w:lang w:val="en-US" w:eastAsia="zh-CN"/>
        </w:rPr>
        <w:t xml:space="preserve">未通过资格审查的。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w:t>
      </w:r>
      <w:r>
        <w:rPr>
          <w:rFonts w:hint="eastAsia" w:ascii="宋体" w:hAnsi="宋体" w:eastAsia="宋体" w:cs="Times New Roman"/>
          <w:color w:val="auto"/>
          <w:sz w:val="24"/>
          <w:szCs w:val="24"/>
          <w:highlight w:val="none"/>
          <w:lang w:val="en-US" w:eastAsia="zh-CN"/>
        </w:rPr>
        <w:t xml:space="preserve">未通过符合性审查的。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w:t>
      </w:r>
      <w:r>
        <w:rPr>
          <w:rFonts w:hint="eastAsia" w:ascii="宋体" w:hAnsi="宋体" w:eastAsia="宋体" w:cs="Times New Roman"/>
          <w:color w:val="auto"/>
          <w:sz w:val="24"/>
          <w:szCs w:val="24"/>
          <w:highlight w:val="none"/>
          <w:lang w:val="en-US" w:eastAsia="zh-CN"/>
        </w:rPr>
        <w:t xml:space="preserve">不符合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w:t>
      </w:r>
      <w:r>
        <w:rPr>
          <w:rFonts w:hint="eastAsia" w:ascii="宋体" w:hAnsi="宋体" w:eastAsia="宋体" w:cs="Times New Roman"/>
          <w:color w:val="auto"/>
          <w:sz w:val="24"/>
          <w:szCs w:val="24"/>
          <w:highlight w:val="none"/>
          <w:lang w:val="en-US" w:eastAsia="zh-CN"/>
        </w:rPr>
        <w:t xml:space="preserve">报价明显低于其自身合理成本且又无法提供有效证明的；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w:t>
      </w:r>
      <w:r>
        <w:rPr>
          <w:rFonts w:hint="eastAsia" w:ascii="宋体" w:hAnsi="宋体" w:eastAsia="宋体" w:cs="Times New Roman"/>
          <w:color w:val="auto"/>
          <w:sz w:val="24"/>
          <w:szCs w:val="24"/>
          <w:highlight w:val="none"/>
          <w:lang w:val="en-US" w:eastAsia="zh-CN"/>
        </w:rPr>
        <w:t xml:space="preserve">本项目采购产品被财政部、国家发展和改革委员会、生态环境部等列入“节能产品品目清单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所投标产品不在强制采购范围内的。（投标产品如属于政府强制采购节能产品品目清单范围内，</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28.1.10供应商的商务技术部分得分相差异常悬殊，磋商小组一致认为得分畸低者有可能影响产品质量或者不能诚信履约的或商务技术得分低于总分值的50%。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w:t>
      </w:r>
      <w:r>
        <w:rPr>
          <w:rFonts w:hint="eastAsia" w:ascii="宋体" w:hAnsi="宋体" w:eastAsia="宋体" w:cs="Times New Roman"/>
          <w:color w:val="auto"/>
          <w:sz w:val="24"/>
          <w:szCs w:val="24"/>
          <w:highlight w:val="none"/>
          <w:lang w:val="en-US" w:eastAsia="zh-CN"/>
        </w:rPr>
        <w:t xml:space="preserve">其他法律、法规及本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w:t>
      </w:r>
      <w:r>
        <w:rPr>
          <w:rFonts w:hint="eastAsia" w:ascii="宋体" w:hAnsi="宋体" w:eastAsia="宋体" w:cs="Times New Roman"/>
          <w:color w:val="auto"/>
          <w:sz w:val="24"/>
          <w:szCs w:val="24"/>
          <w:highlight w:val="none"/>
          <w:lang w:val="en-US" w:eastAsia="zh-CN"/>
        </w:rPr>
        <w:t xml:space="preserve">符合条件的供应商或者对磋商文件作实质响应的供应商不足3家的（市场竞争不充分的科研项目，以及需要扶持的科技成果转化项目可以是2家）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w:t>
      </w:r>
      <w:r>
        <w:rPr>
          <w:rFonts w:hint="eastAsia" w:ascii="宋体" w:hAnsi="宋体" w:eastAsia="宋体" w:cs="Times New Roman"/>
          <w:color w:val="auto"/>
          <w:sz w:val="24"/>
          <w:szCs w:val="24"/>
          <w:highlight w:val="none"/>
          <w:lang w:val="en-US" w:eastAsia="zh-CN"/>
        </w:rPr>
        <w:t xml:space="preserve">出现影响采购公正的违法、违规行为的。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w:t>
      </w:r>
      <w:r>
        <w:rPr>
          <w:rFonts w:hint="eastAsia" w:ascii="宋体" w:hAnsi="宋体" w:eastAsia="宋体" w:cs="Times New Roman"/>
          <w:color w:val="auto"/>
          <w:sz w:val="24"/>
          <w:szCs w:val="24"/>
          <w:highlight w:val="none"/>
          <w:lang w:val="en-US" w:eastAsia="zh-CN"/>
        </w:rPr>
        <w:t xml:space="preserve">因重大变故，采购任务取消的。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w:t>
      </w:r>
      <w:r>
        <w:rPr>
          <w:rFonts w:hint="eastAsia" w:ascii="宋体" w:hAnsi="宋体" w:eastAsia="宋体" w:cs="Times New Roman"/>
          <w:color w:val="auto"/>
          <w:sz w:val="24"/>
          <w:szCs w:val="24"/>
          <w:highlight w:val="none"/>
          <w:lang w:val="en-US" w:eastAsia="zh-CN"/>
        </w:rPr>
        <w:t xml:space="preserve">因苏采云系统故障原因造成磋商不成功的。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w:t>
      </w:r>
      <w:r>
        <w:rPr>
          <w:rFonts w:hint="eastAsia" w:ascii="宋体" w:hAnsi="宋体" w:eastAsia="宋体" w:cs="Times New Roman"/>
          <w:color w:val="auto"/>
          <w:sz w:val="24"/>
          <w:szCs w:val="24"/>
          <w:highlight w:val="none"/>
          <w:lang w:val="en-US" w:eastAsia="zh-CN"/>
        </w:rPr>
        <w:t xml:space="preserve">磋商结束后，递交最后报价的供应商不足三家的；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w:t>
      </w:r>
      <w:r>
        <w:rPr>
          <w:rFonts w:hint="eastAsia" w:ascii="宋体" w:hAnsi="宋体" w:eastAsia="宋体" w:cs="Times New Roman"/>
          <w:color w:val="auto"/>
          <w:sz w:val="24"/>
          <w:szCs w:val="24"/>
          <w:highlight w:val="none"/>
          <w:lang w:val="en-US" w:eastAsia="zh-CN"/>
        </w:rPr>
        <w:t xml:space="preserve">磋商小组认定竞争性磋商文件存在歧义、重大缺陷导致评审工作无法进行；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或者在评审期间对磋商文件做出实质响应的供应商不足三家情况，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29.1异常低价处理：评审过程中出现下列情形之一的，磋商小组应当启动异常低价投标（响应）审查程序。</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29.1.1响应报价低于采购项目预算50%的，即响应报价＜采购项目预算×50%；</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29.1.2响应报价低于采购项目最高限价45%的，即响应报价＜采购项目最高限价×45%；</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29.1.3磋商小组认定的供应商报价过低、有可能影响产品质量或者不能诚信履约的其他情形。</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供应商投标报价有上述异常低价情形时，磋商小组应当启动异常低价审查程序，并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ind w:firstLine="477"/>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513029235"/>
      <w:r/>
      <w:bookmarkStart w:id="258" w:name="_Toc20823307"/>
      <w:r/>
      <w:bookmarkStart w:id="259" w:name="_Toc120614219"/>
      <w:r/>
      <w:bookmarkStart w:id="260" w:name="_Toc16938551"/>
      <w:r/>
      <w:bookmarkStart w:id="261" w:name="_Toc5953"/>
      <w:r/>
      <w:bookmarkStart w:id="262" w:name="_Toc8614"/>
      <w:r/>
      <w:bookmarkStart w:id="263" w:name="_Toc30950"/>
      <w:r/>
      <w:bookmarkStart w:id="264" w:name="_Toc23778"/>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16938554"/>
      <w:r/>
      <w:bookmarkStart w:id="267" w:name="_Toc20823310"/>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.2采购人应根据磋商小组推荐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采购人确定成交供应商后，</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将在“江苏政府采购网”发布成交结果公告，公告期限为1个工作日。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.3若有充分证据证明，成交供应商出现下列情况之一的，一经查实，将被取消成交资格：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.3.1提供虚假材料谋取成交的。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.3.2与评审专家、采购人、其他供应商或者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.3.3向评审专家、采购人或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.3.4恶意竞争，最后报价明显低于其自身合理成本且又无法提供证明的。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.3.5不满足本磋商文件规定的实质性要求，但在评审过程中又未被磋商小组发现的。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.3.6成交后无正当理由拒不与采购人签订政府采购合同或者未按照磋商文件确定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.3.7将政府采购合同转包的。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.3.8采取不正当手段诋毁、排挤其他供应商的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12756"/>
      <w:r/>
      <w:bookmarkStart w:id="270"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w:t>
      </w:r>
      <w:r>
        <w:rPr>
          <w:rFonts w:hint="eastAsia" w:ascii="宋体" w:hAnsi="宋体" w:eastAsia="宋体" w:cs="宋体"/>
          <w:b/>
          <w:bCs w:val="0"/>
          <w:color w:val="auto"/>
          <w:sz w:val="30"/>
          <w:szCs w:val="30"/>
          <w:highlight w:val="none"/>
        </w:rPr>
        <w:t xml:space="preserve">质疑处理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.2.1对可以质疑的采购文件提出质疑的，为收到采购文件之日或者采购文件公告期限届满之日。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.2.2对采购过程提出质疑的，为各采购程序环节结束之日。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.2.3对成交结果提出质疑的，为成交结果公告期限届满之日。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供应商（含潜在供应商）对采购方式、采购文件中采购需求、供应商资格条件、评审方法和评审标准、合同文本及资格审查结果的询问、质疑请向采购人提出，由采购人负责答复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采购方式、采购文件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可以组织原评审委员会协助答复质疑。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w:t>
      </w:r>
      <w:r>
        <w:rPr>
          <w:rFonts w:hint="eastAsia" w:ascii="宋体" w:hAnsi="宋体" w:eastAsia="宋体" w:cs="Times New Roman"/>
          <w:bCs/>
          <w:color w:val="auto"/>
          <w:sz w:val="24"/>
          <w:szCs w:val="21"/>
          <w:highlight w:val="none"/>
        </w:rPr>
        <w:t xml:space="preserve">内容不符合《政府采购质疑和投诉办法》第十二条规定的质疑。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w:t>
      </w:r>
      <w:r>
        <w:rPr>
          <w:rFonts w:hint="eastAsia" w:ascii="宋体" w:hAnsi="宋体" w:eastAsia="宋体" w:cs="Times New Roman"/>
          <w:bCs/>
          <w:color w:val="auto"/>
          <w:sz w:val="24"/>
          <w:szCs w:val="21"/>
          <w:highlight w:val="none"/>
        </w:rPr>
        <w:t xml:space="preserve">超出政府采购法定期限的质疑。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w:t>
      </w:r>
      <w:r>
        <w:rPr>
          <w:rFonts w:hint="eastAsia" w:ascii="宋体" w:hAnsi="宋体" w:eastAsia="宋体" w:cs="Times New Roman"/>
          <w:bCs/>
          <w:color w:val="auto"/>
          <w:sz w:val="24"/>
          <w:szCs w:val="21"/>
          <w:highlight w:val="none"/>
        </w:rPr>
        <w:t xml:space="preserve">以传真、电子邮件等方式递交的非原件形式的质疑。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w:t>
      </w:r>
      <w:r>
        <w:rPr>
          <w:rFonts w:hint="eastAsia" w:ascii="宋体" w:hAnsi="宋体" w:eastAsia="宋体" w:cs="Times New Roman"/>
          <w:bCs/>
          <w:color w:val="auto"/>
          <w:sz w:val="24"/>
          <w:szCs w:val="21"/>
          <w:highlight w:val="none"/>
        </w:rPr>
        <w:t xml:space="preserve">未参加磋商活动的供应商或在磋商活动中自身权益未受到损害的供应商所提出的质疑。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w:t>
      </w:r>
      <w:r>
        <w:rPr>
          <w:rFonts w:hint="eastAsia" w:ascii="宋体" w:hAnsi="宋体" w:eastAsia="宋体" w:cs="Times New Roman"/>
          <w:bCs/>
          <w:color w:val="auto"/>
          <w:sz w:val="24"/>
          <w:szCs w:val="21"/>
          <w:highlight w:val="none"/>
        </w:rPr>
        <w:t xml:space="preserve">供应商组成联合体参加磋商，联合体中任何一方或多方未按要求签字、盖章、加盖公章的质疑。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eastAsia="宋体" w:cs="Times New Roman"/>
          <w:bCs/>
          <w:color w:val="auto"/>
          <w:sz w:val="24"/>
          <w:szCs w:val="21"/>
          <w:highlight w:val="none"/>
        </w:rPr>
        <w:t xml:space="preserve">供应商提出书面质疑必须有理、有据，不得捏造事实、提供虚假材料进行恶意质疑。否则，一经查实，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成交通知书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.1成交结果确定后，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2162"/>
      <w:r/>
      <w:bookmarkStart w:id="273" w:name="_Toc11332"/>
      <w:r/>
      <w:bookmarkStart w:id="274" w:name="_Toc120614220"/>
      <w:r/>
      <w:bookmarkStart w:id="275" w:name="_Toc20588"/>
      <w:r/>
      <w:bookmarkStart w:id="276" w:name="_Toc15236"/>
      <w:r/>
      <w:bookmarkStart w:id="277" w:name="_Toc513029236"/>
      <w:r/>
      <w:bookmarkStart w:id="278" w:name="_Toc16938552"/>
      <w:r/>
      <w:bookmarkStart w:id="279" w:name="_Toc20823308"/>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r/>
      <w:bookmarkEnd w:id="278"/>
      <w:r/>
      <w:bookmarkEnd w:id="279"/>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513029237"/>
      <w:r/>
      <w:bookmarkStart w:id="282" w:name="_Toc16938553"/>
      <w:r/>
      <w:bookmarkStart w:id="283" w:name="_Toc20823309"/>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.l成交供应商应当在成交通知书发出之日起三十日内，按照磋商文件确定的事项与采购人签订政府采购合同。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.2磋商文件、成交供应商的响应文件及磋商过程中有关澄清、承诺文件均应作为合同附件。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签订合同后，成交供应商不得将合同标的进行转包。未经采购人同意，成交供应商也不得采用分包形式履行合同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标的物的追加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w:t>
      </w:r>
      <w:r>
        <w:rPr>
          <w:rFonts w:hint="eastAsia" w:ascii="宋体" w:hAnsi="宋体" w:cs="Times New Roman"/>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r/>
      <w:bookmarkEnd w:id="282"/>
      <w:r/>
      <w:bookmarkEnd w:id="28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120614221"/>
      <w:r/>
      <w:bookmarkStart w:id="287" w:name="_Toc16938558"/>
      <w:r/>
      <w:bookmarkStart w:id="288" w:name="_Toc20823314"/>
      <w:r/>
      <w:bookmarkStart w:id="289" w:name="_Toc513029242"/>
      <w:r/>
      <w:bookmarkStart w:id="290" w:name="_Toc479757207"/>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政府采购履约资金扶持政策</w:t>
      </w:r>
      <w:bookmarkEnd w:id="285"/>
      <w:r/>
      <w:bookmarkEnd w:id="286"/>
      <w:r/>
      <w:bookmarkEnd w:id="287"/>
      <w:r/>
      <w:bookmarkEnd w:id="288"/>
      <w:r/>
      <w:bookmarkEnd w:id="289"/>
      <w:r/>
      <w:bookmarkEnd w:id="290"/>
      <w:r/>
      <w:r/>
    </w:p>
    <w:p>
      <w:pPr>
        <w:ind w:firstLine="480"/>
        <w:pageBreakBefore w:val="0"/>
        <w:spacing w:line="240" w:lineRule="auto"/>
        <w:rPr>
          <w:rFonts w:hint="eastAsia" w:ascii="宋体" w:hAnsi="宋体"/>
          <w:bCs/>
          <w:color w:val="auto"/>
          <w:sz w:val="24"/>
          <w:szCs w:val="24"/>
          <w:highlight w:val="none"/>
        </w:rPr>
        <w:outlineLvl w:val="9"/>
      </w:pPr>
      <w:r/>
      <w:bookmarkStart w:id="291" w:name="_Hlt16619350"/>
      <w:r/>
      <w:bookmarkStart w:id="292" w:name="_Toc16938590"/>
      <w:r/>
      <w:bookmarkStart w:id="293" w:name="_Toc120614244"/>
      <w:r/>
      <w:bookmarkStart w:id="294" w:name="_Toc20823346"/>
      <w:r/>
      <w:bookmarkStart w:id="295" w:name="_Toc479757211"/>
      <w:r/>
      <w:bookmarkStart w:id="296"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7" w:name="_Toc15736"/>
      <w:r/>
      <w:bookmarkStart w:id="298" w:name="_Toc29035"/>
      <w:r/>
      <w:bookmarkStart w:id="299" w:name="_Toc23644"/>
      <w:r/>
      <w:bookmarkStart w:id="300" w:name="_Toc8698"/>
      <w:r/>
      <w:bookmarkStart w:id="301" w:name="_Toc25986"/>
      <w:r/>
      <w:bookmarkStart w:id="302" w:name="_Toc3461"/>
      <w:r>
        <w:rPr>
          <w:rFonts w:hint="eastAsia" w:ascii="黑体" w:hAnsi="Arial" w:eastAsia="黑体" w:cs="Arial"/>
          <w:b/>
          <w:bCs/>
          <w:color w:val="auto"/>
          <w:sz w:val="44"/>
          <w:szCs w:val="44"/>
          <w:highlight w:val="none"/>
        </w:rPr>
        <w:t xml:space="preserve">第</w:t>
      </w:r>
      <w:bookmarkEnd w:id="291"/>
      <w:r>
        <w:rPr>
          <w:rFonts w:hint="eastAsia" w:ascii="黑体" w:hAnsi="Arial" w:eastAsia="黑体" w:cs="Arial"/>
          <w:b/>
          <w:bCs/>
          <w:color w:val="auto"/>
          <w:sz w:val="44"/>
          <w:szCs w:val="44"/>
          <w:highlight w:val="none"/>
        </w:rPr>
        <w:t xml:space="preserve">三章 采购需求</w:t>
      </w:r>
      <w:bookmarkEnd w:id="292"/>
      <w:r/>
      <w:bookmarkEnd w:id="293"/>
      <w:r/>
      <w:bookmarkEnd w:id="294"/>
      <w:r/>
      <w:bookmarkEnd w:id="297"/>
      <w:r/>
      <w:bookmarkEnd w:id="298"/>
      <w:r/>
      <w:bookmarkEnd w:id="299"/>
      <w:r/>
      <w:bookmarkEnd w:id="300"/>
      <w:r/>
      <w:bookmarkEnd w:id="301"/>
      <w:r/>
      <w:bookmarkEnd w:id="302"/>
      <w:r/>
      <w:bookmarkStart w:id="303" w:name="_Toc26554093"/>
      <w:r/>
      <w:bookmarkStart w:id="304" w:name="_Toc49090575"/>
      <w:r/>
      <w:r/>
    </w:p>
    <w:p>
      <w:pPr>
        <w:numPr>
          <w:ilvl w:val="0"/>
          <w:numId w:val="0"/>
        </w:numPr>
        <w:ind w:firstLine="482"/>
        <w:spacing w:line="240" w:lineRule="auto"/>
        <w:rPr>
          <w:rFonts w:hint="eastAsia" w:ascii="宋体" w:hAnsi="宋体" w:eastAsia="宋体" w:cs="宋体"/>
          <w:b/>
          <w:bCs/>
          <w:sz w:val="24"/>
          <w:szCs w:val="24"/>
          <w:highlight w:val="none"/>
          <w:lang w:eastAsia="zh-CN"/>
        </w:rPr>
      </w:pPr>
      <w:r/>
      <w:bookmarkStart w:id="305" w:name="_Toc23805"/>
      <w:r/>
      <w:bookmarkStart w:id="306" w:name="_Toc28814"/>
      <w:r/>
      <w:bookmarkStart w:id="307" w:name="_Toc21058"/>
      <w:r/>
      <w:bookmarkStart w:id="308" w:name="_Toc14447"/>
      <w:r/>
      <w:bookmarkStart w:id="309" w:name="_Toc24185"/>
      <w:r/>
      <w:bookmarkStart w:id="310" w:name="_Toc28628"/>
      <w:r/>
      <w:bookmarkStart w:id="311" w:name="_Toc120614281"/>
      <w:r>
        <w:rPr>
          <w:rFonts w:hint="eastAsia" w:ascii="宋体" w:hAnsi="宋体" w:eastAsia="宋体" w:cs="宋体"/>
          <w:b/>
          <w:bCs/>
          <w:sz w:val="24"/>
          <w:szCs w:val="24"/>
          <w:highlight w:val="none"/>
        </w:rPr>
        <w:t xml:space="preserve">项目属性：货物类项目</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工业</w:t>
      </w:r>
      <w:r>
        <w:rPr>
          <w:rFonts w:hint="eastAsia" w:ascii="宋体" w:hAnsi="宋体" w:cs="宋体"/>
          <w:b/>
          <w:bCs/>
          <w:sz w:val="24"/>
          <w:szCs w:val="24"/>
          <w:highlight w:val="none"/>
          <w:lang w:eastAsia="zh-CN"/>
        </w:rPr>
        <w:t xml:space="preserve">）</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采购需求包括拟采购的标的及其需要满足的技术、商务要求。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（一）技术要求是指对采购标的功能和质量要求，包括性能、材料、结构、外观、安全，或者服务内容和标准等。</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其内容包含但不限于以下内容：</w:t>
      </w:r>
      <w:r/>
    </w:p>
    <w:p>
      <w:pPr>
        <w:spacing w:line="240" w:lineRule="auto"/>
        <w:rPr>
          <w:rFonts w:hint="eastAsia" w:ascii="宋体" w:hAnsi="宋体" w:eastAsia="宋体" w:cs="宋体"/>
          <w:b/>
          <w:bCs/>
          <w:sz w:val="24"/>
          <w:szCs w:val="24"/>
          <w:highlight w:val="none"/>
        </w:rPr>
        <w:outlineLvl w:val="1"/>
      </w:pPr>
      <w:r>
        <w:rPr>
          <w:rFonts w:hint="eastAsia" w:ascii="宋体" w:hAnsi="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采购标的需实现的功能或者目标，以及为落实政府采购政策需满足的要求：</w:t>
      </w:r>
      <w:r/>
    </w:p>
    <w:p>
      <w:pPr>
        <w:ind w:firstLine="48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海安市人民医院根据临床需求，拟采购血滤机3台，以满足医院ICU危重症患者的抢救（如脓毒症、多器官功能衰竭、急性肾损伤等）、肾内科慢性肾衰竭患者的规律性透析治疗，以及急诊、心内科等科室的紧急血液净化需求，提升医院急危重症救治水平和综合服务能力。</w:t>
      </w:r>
      <w:r/>
    </w:p>
    <w:p>
      <w:pPr>
        <w:ind w:firstLine="48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2.本项目接受进口产品投标，若投标产品为进口产品，提供产品制造商或其驻中国办事机构或制造商授权的中国境内代理商针对本项目的专项授权书。</w:t>
      </w:r>
      <w:r/>
    </w:p>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92"/>
        <w:ind w:left="0" w:firstLine="0"/>
        <w:keepLines w:val="0"/>
        <w:keepNext w:val="0"/>
        <w:pageBreakBefore w:val="0"/>
        <w:spacing w:beforeAutospacing="0" w:afterAutospacing="0"/>
        <w:widowControl/>
        <w:rPr>
          <w:rFonts w:hint="eastAsia" w:ascii="宋体" w:hAnsi="宋体" w:eastAsia="宋体" w:cs="宋体"/>
          <w:b/>
          <w:bCs/>
          <w:sz w:val="24"/>
          <w:szCs w:val="24"/>
          <w:highlight w:val="none"/>
          <w:lang w:val="en-US" w:eastAsia="zh-CN" w:bidi="ar-SA"/>
        </w:rPr>
        <w:outlineLvl w:val="1"/>
        <w:suppressLineNumbers w:val="0"/>
      </w:pPr>
      <w:r>
        <w:rPr>
          <w:rFonts w:hint="eastAsia" w:ascii="宋体" w:hAnsi="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采购标的需执行的国家相关标准、行业标准、地方标准或者其他标准、规范：</w:t>
      </w:r>
      <w:r/>
    </w:p>
    <w:p>
      <w:pPr>
        <w:ind w:firstLine="480"/>
        <w:keepLines w:val="0"/>
        <w:keepNext w:val="0"/>
        <w:pageBreakBefore w:val="0"/>
        <w:spacing w:beforeAutospacing="0" w:afterAutospacing="0"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1.投标人须具有医疗器械企业经营许可证或医疗器械二类备案凭证或医疗器械生产许可证；</w:t>
      </w:r>
      <w:r/>
    </w:p>
    <w:p>
      <w:pPr>
        <w:ind w:firstLine="480"/>
        <w:keepLines w:val="0"/>
        <w:keepNext w:val="0"/>
        <w:pageBreakBefore w:val="0"/>
        <w:spacing w:beforeAutospacing="0" w:afterAutospacing="0"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2.中华人民共和国实行安装安全认可证，制造、经营许可，强制性认证、准入证制度的产品、行业，必须提供中华人民共和国有关部门颁发的资质证明文件。</w:t>
      </w:r>
      <w:r/>
    </w:p>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240" w:lineRule="auto"/>
        <w:rPr>
          <w:rFonts w:hint="eastAsia" w:ascii="宋体" w:hAnsi="宋体" w:eastAsia="宋体" w:cs="宋体"/>
          <w:b/>
          <w:bCs/>
          <w:sz w:val="24"/>
          <w:szCs w:val="24"/>
          <w:highlight w:val="none"/>
        </w:rPr>
        <w:outlineLvl w:val="1"/>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采购标的需满足的质量、安全、技术规格、物理特性等要求：</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(一)、设备功能要求</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★1.具备多种治疗模式:血液透析滤过(HDF)、血液透析(HD)、血液过滤(HF)、双针、单针、碳酸氢盐/醋酸盐透析。</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▲2.机器具有应急按键功能，可一键终止超滤，自动测量血压，自动追加置换液，自动降低血流量(参数可调)。</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▲3.具备透析液流量自动调节功能:透析液流量可以根据血流量自动调节。在准备中透析液流量自动降至&lt;100m1/min。</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▲4.具备置换液流量自动调节功能，根据连续采集的透析器负荷率自动控制置换速率,置换液与有效血流量自动匹配。</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▲5.具备开机自检测试,治疗过程中进行压力维持检测功能。</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6.具备屏幕保护功能。</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7.具备血液管路扭曲或透析器凝血堵塞报警功能。</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(二)、设备技术参数</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1.透析液温度 34.0℃-39.0℃可调，误差士0.5℃。透析液流量:100-1000mL/min，梯度100ml。</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2.透析液电导率范围:12.8-15.7 mS/cm，误差士0.1 mS/cm。</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3.置换液流量:25-600m1/min，精确度土10%。</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4.采用密闭式容量平衡腔超滤控制系统，超滤率0-4000mL/h，精确度土1%。</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5.动脉压监测显示范围-300mHg - +300mmHg，精确度土10mnHg。</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6.静脉压监测显示范围-100mmHg - +500mmHg，精确度士10mmHg。</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7.跨膜压监测:显示范围-100mmHg - +400mmHg;精确度士10mmHg。</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8.血流量范围 30-600ml/min，梯度10ml。</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9.漏血探测器红细胞比容 0.32时，响应阈值是每分钟≤0.5ml的失血流入透析液(流速100m1/min-1000m1/min)</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10.肝素泵:流速 0.5-10ml/h，梯度 0.1ml。</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(三)、设备配置要求</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1.≥15英寸的高分辨率彩色可旋转式触摸屏。</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2.具备碳酸氢盐干粉接口。</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3.具备两套透析液过滤器接口系统。</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4.具备读卡器功能。</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5.具备计算机网络系统接口。</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▲6.配备联机血压监测模块:可测量收缩压，舒张压，平均动脉压和脉搏。</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▲7.具备联机清除率监测模块:可实时持续监测体内尿素清除率(K)，透析剂量(Kt/V)血浆钠浓度。</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8.具备中央浓缩液供给系统接口。</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(四)、其他</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▲1.透析液吸管联机消毒。</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▲2.使用年限≥10年。</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▲3.为了保证患者安全和责任追溯，需提供与设备同一品牌的消毒试剂；或由制造商出具消毒试剂推荐品牌清单及其兼容性承诺，承诺将承担因使用其推荐品牌消毒试剂可能产生的所有医疗责任风险。</w:t>
      </w:r>
      <w:r/>
    </w:p>
    <w:p>
      <w:pPr>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4.为了保证患者安全和责任追溯，须提供与设备同一品牌的血液透析器或血液滤过器，并在江苏省医疗保障局药品医用耗材阳光采购平台上(需提供省级医疗保障局药品医用耗材阳光采购平台网页截图作为证明材料)；非同一品牌的，可由制造商出具血液透析器或血液滤过器的推荐品牌清单及其兼容性承诺，承诺将承担因使用其推荐品牌血液透析器或血液滤过器可能产生的所有医疗责任风险。</w:t>
      </w:r>
      <w:r/>
    </w:p>
    <w:p>
      <w:pPr>
        <w:rPr>
          <w:rFonts w:hint="eastAsia"/>
          <w:highlight w:val="none"/>
        </w:rPr>
      </w:pPr>
      <w:r>
        <w:rPr>
          <w:rFonts w:hint="eastAsia"/>
          <w:highlight w:val="none"/>
        </w:rPr>
      </w:r>
      <w:r/>
    </w:p>
    <w:p>
      <w:pPr>
        <w:rPr>
          <w:rFonts w:hint="eastAsia" w:ascii="宋体" w:hAnsi="宋体" w:eastAsia="宋体" w:cs="宋体"/>
          <w:b/>
          <w:bCs/>
          <w:sz w:val="24"/>
          <w:szCs w:val="24"/>
          <w:highlight w:val="none"/>
        </w:rPr>
        <w:outlineLvl w:val="1"/>
      </w:pP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采购标的的数量、采购项目交付或者实施的时间和地点： </w:t>
      </w:r>
      <w:r/>
    </w:p>
    <w:tbl>
      <w:tblPr>
        <w:tblStyle w:val="1078"/>
        <w:tblpPr w:horzAnchor="page" w:tblpXSpec="center" w:vertAnchor="text" w:tblpY="208" w:leftFromText="180" w:topFromText="0" w:rightFromText="180" w:bottomFromText="0"/>
        <w:tblW w:w="8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367"/>
        <w:gridCol w:w="1157"/>
        <w:gridCol w:w="1183"/>
        <w:gridCol w:w="1183"/>
        <w:gridCol w:w="2434"/>
      </w:tblGrid>
      <w:tr>
        <w:trPr>
          <w:jc w:val="center"/>
          <w:trHeight w:val="563"/>
        </w:trPr>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预算</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交货期</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val="false"/>
          </w:tcPr>
          <w:p>
            <w:pPr>
              <w:jc w:val="center"/>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交货地点</w:t>
            </w:r>
            <w:r/>
          </w:p>
        </w:tc>
      </w:tr>
      <w:tr>
        <w:trPr>
          <w:jc w:val="center"/>
          <w:trHeight w:val="406"/>
        </w:trPr>
        <w:tc>
          <w:tcPr>
            <w:tcBorders>
              <w:top w:val="single" w:color="auto" w:sz="4" w:space="0"/>
              <w:left w:val="single" w:color="auto" w:sz="4" w:space="0"/>
              <w:right w:val="single" w:color="auto" w:sz="4" w:space="0"/>
            </w:tcBorders>
            <w:tcW w:w="830" w:type="dxa"/>
            <w:vAlign w:val="center"/>
            <w:textDirection w:val="lrTb"/>
            <w:noWrap w:val="false"/>
          </w:tcPr>
          <w:p>
            <w:pPr>
              <w:jc w:val="center"/>
              <w:rPr>
                <w:rFonts w:hint="default" w:ascii="宋体" w:hAnsi="宋体" w:cs="宋体"/>
                <w:b w:val="0"/>
                <w:bCs w:val="0"/>
                <w:sz w:val="24"/>
                <w:szCs w:val="24"/>
                <w:highlight w:val="none"/>
                <w:lang w:val="en-US" w:eastAsia="zh-CN"/>
              </w:rPr>
            </w:pPr>
            <w:r>
              <w:rPr>
                <w:rFonts w:hint="eastAsia" w:ascii="宋体" w:hAnsi="宋体" w:eastAsia="宋体" w:cs="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hint="default" w:ascii="宋体" w:hAnsi="宋体" w:cs="宋体"/>
                <w:b w:val="0"/>
                <w:bCs w:val="0"/>
                <w:sz w:val="24"/>
                <w:szCs w:val="24"/>
                <w:highlight w:val="none"/>
                <w:lang w:val="en-US" w:eastAsia="zh-CN"/>
              </w:rPr>
            </w:pPr>
            <w:r>
              <w:rPr>
                <w:rFonts w:hint="eastAsia" w:ascii="宋体" w:hAnsi="宋体" w:cs="宋体"/>
                <w:color w:val="auto"/>
                <w:sz w:val="24"/>
                <w:szCs w:val="24"/>
                <w:highlight w:val="none"/>
                <w:lang w:val="en-US" w:eastAsia="zh-CN"/>
              </w:rPr>
              <w:t xml:space="preserve">血滤机</w:t>
            </w:r>
            <w:r/>
          </w:p>
        </w:tc>
        <w:tc>
          <w:tcPr>
            <w:tcBorders>
              <w:top w:val="single" w:color="auto" w:sz="4" w:space="0"/>
              <w:left w:val="single" w:color="auto" w:sz="4" w:space="0"/>
              <w:right w:val="single" w:color="auto" w:sz="4" w:space="0"/>
            </w:tcBorders>
            <w:tcW w:w="1157" w:type="dxa"/>
            <w:vAlign w:val="center"/>
            <w:textDirection w:val="lrTb"/>
            <w:noWrap w:val="false"/>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3台</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66万元</w:t>
            </w:r>
            <w:r/>
          </w:p>
        </w:tc>
        <w:tc>
          <w:tcPr>
            <w:tcBorders>
              <w:top w:val="single" w:color="auto" w:sz="4" w:space="0"/>
              <w:left w:val="single" w:color="auto" w:sz="4" w:space="0"/>
              <w:right w:val="single" w:color="auto" w:sz="4" w:space="0"/>
            </w:tcBorders>
            <w:tcW w:w="1183" w:type="dxa"/>
            <w:vAlign w:val="center"/>
            <w:textDirection w:val="lrTb"/>
            <w:noWrap w:val="false"/>
          </w:tcPr>
          <w:p>
            <w:pPr>
              <w:jc w:val="center"/>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30天</w:t>
            </w:r>
            <w:r/>
          </w:p>
        </w:tc>
        <w:tc>
          <w:tcPr>
            <w:tcBorders>
              <w:top w:val="single" w:color="auto" w:sz="4" w:space="0"/>
              <w:left w:val="single" w:color="auto" w:sz="4" w:space="0"/>
              <w:right w:val="single" w:color="auto" w:sz="4" w:space="0"/>
            </w:tcBorders>
            <w:tcW w:w="2434"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8"/>
                <w:highlight w:val="none"/>
              </w:rPr>
              <w:t xml:space="preserve">采购人指定地点</w:t>
            </w:r>
            <w:r/>
          </w:p>
        </w:tc>
      </w:tr>
    </w:tbl>
    <w:p>
      <w:pPr>
        <w:numPr>
          <w:ilvl w:val="0"/>
          <w:numId w:val="0"/>
        </w:numP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numPr>
          <w:ilvl w:val="0"/>
          <w:numId w:val="0"/>
        </w:numPr>
        <w:spacing w:line="24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lang w:val="en-US" w:eastAsia="zh-CN" w:bidi="ar-SA"/>
        </w:rPr>
        <w:t xml:space="preserve">五、</w:t>
      </w:r>
      <w:r>
        <w:rPr>
          <w:rFonts w:hint="eastAsia" w:ascii="宋体" w:hAnsi="宋体" w:eastAsia="宋体" w:cs="宋体"/>
          <w:b/>
          <w:bCs/>
          <w:sz w:val="24"/>
          <w:szCs w:val="24"/>
          <w:highlight w:val="none"/>
        </w:rPr>
        <w:t xml:space="preserve">采购标的的验收标准：</w:t>
      </w:r>
      <w:r>
        <w:rPr>
          <w:rFonts w:hint="eastAsia" w:ascii="宋体" w:hAnsi="宋体" w:eastAsia="宋体" w:cs="宋体"/>
          <w:b w:val="0"/>
          <w:bCs w:val="0"/>
          <w:sz w:val="24"/>
          <w:szCs w:val="24"/>
          <w:highlight w:val="none"/>
        </w:rPr>
        <w:t xml:space="preserve">现行国家/行业标准，企业标准及上述技术规格。</w:t>
      </w:r>
      <w:r/>
    </w:p>
    <w:p>
      <w:pPr>
        <w:numPr>
          <w:ilvl w:val="0"/>
          <w:numId w:val="0"/>
        </w:numP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numPr>
          <w:ilvl w:val="0"/>
          <w:numId w:val="0"/>
        </w:numPr>
        <w:spacing w:line="240" w:lineRule="auto"/>
        <w:rPr>
          <w:rFonts w:hint="eastAsia" w:ascii="宋体" w:hAnsi="宋体" w:eastAsia="宋体" w:cs="宋体"/>
          <w:b/>
          <w:bCs/>
          <w:sz w:val="24"/>
          <w:szCs w:val="24"/>
          <w:highlight w:val="none"/>
        </w:rPr>
        <w:outlineLvl w:val="1"/>
      </w:pPr>
      <w:r>
        <w:rPr>
          <w:rFonts w:hint="eastAsia" w:ascii="宋体" w:hAnsi="宋体" w:cs="宋体"/>
          <w:b/>
          <w:bCs/>
          <w:sz w:val="24"/>
          <w:szCs w:val="24"/>
          <w:highlight w:val="none"/>
          <w:lang w:val="en-US" w:eastAsia="zh-CN" w:bidi="ar-SA"/>
        </w:rPr>
        <w:t xml:space="preserve">六、</w:t>
      </w:r>
      <w:r>
        <w:rPr>
          <w:rFonts w:hint="eastAsia" w:ascii="宋体" w:hAnsi="宋体" w:eastAsia="宋体" w:cs="宋体"/>
          <w:b/>
          <w:bCs/>
          <w:sz w:val="24"/>
          <w:szCs w:val="24"/>
          <w:highlight w:val="none"/>
          <w:u w:val="single"/>
        </w:rPr>
        <w:t xml:space="preserve">采购需求中必须满足的实质性要求</w:t>
      </w:r>
      <w:r>
        <w:rPr>
          <w:rFonts w:hint="eastAsia" w:ascii="宋体" w:hAnsi="宋体" w:eastAsia="宋体" w:cs="宋体"/>
          <w:b/>
          <w:bCs/>
          <w:sz w:val="24"/>
          <w:szCs w:val="24"/>
          <w:highlight w:val="none"/>
        </w:rPr>
        <w:t xml:space="preserve">：</w:t>
      </w:r>
      <w:r/>
    </w:p>
    <w:p>
      <w:pPr>
        <w:numPr>
          <w:ilvl w:val="0"/>
          <w:numId w:val="0"/>
        </w:numPr>
        <w:spacing w:line="240" w:lineRule="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rPr>
        <w:t xml:space="preserve">加注“★”符号的关键技术条款，不</w:t>
      </w:r>
      <w:r>
        <w:rPr>
          <w:rFonts w:hint="eastAsia" w:ascii="宋体" w:hAnsi="宋体" w:cs="宋体"/>
          <w:b w:val="0"/>
          <w:bCs w:val="0"/>
          <w:sz w:val="24"/>
          <w:szCs w:val="24"/>
          <w:highlight w:val="none"/>
          <w:lang w:val="en-US" w:eastAsia="zh-CN"/>
        </w:rPr>
        <w:t xml:space="preserve">接受</w:t>
      </w:r>
      <w:r>
        <w:rPr>
          <w:rFonts w:hint="eastAsia" w:ascii="宋体" w:hAnsi="宋体" w:eastAsia="宋体" w:cs="宋体"/>
          <w:b w:val="0"/>
          <w:bCs w:val="0"/>
          <w:sz w:val="24"/>
          <w:szCs w:val="24"/>
          <w:highlight w:val="none"/>
        </w:rPr>
        <w:t xml:space="preserve">任何负偏离。</w:t>
      </w:r>
      <w:r/>
    </w:p>
    <w:p>
      <w:pPr>
        <w:numPr>
          <w:ilvl w:val="0"/>
          <w:numId w:val="0"/>
        </w:numPr>
        <w:spacing w:line="240" w:lineRule="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bidi="ar-SA"/>
        </w:rPr>
        <w:t xml:space="preserve">2.</w:t>
      </w:r>
      <w:r>
        <w:rPr>
          <w:rFonts w:hint="eastAsia" w:ascii="宋体" w:hAnsi="宋体" w:eastAsia="宋体" w:cs="宋体"/>
          <w:b w:val="0"/>
          <w:bCs w:val="0"/>
          <w:sz w:val="24"/>
          <w:szCs w:val="24"/>
          <w:highlight w:val="none"/>
        </w:rPr>
        <w:t xml:space="preserve">商务要求不</w:t>
      </w:r>
      <w:r>
        <w:rPr>
          <w:rFonts w:hint="eastAsia" w:ascii="宋体" w:hAnsi="宋体" w:cs="宋体"/>
          <w:b w:val="0"/>
          <w:bCs w:val="0"/>
          <w:sz w:val="24"/>
          <w:szCs w:val="24"/>
          <w:highlight w:val="none"/>
          <w:lang w:val="en-US" w:eastAsia="zh-CN"/>
        </w:rPr>
        <w:t xml:space="preserve">接受</w:t>
      </w:r>
      <w:r>
        <w:rPr>
          <w:rFonts w:hint="eastAsia" w:ascii="宋体" w:hAnsi="宋体" w:eastAsia="宋体" w:cs="宋体"/>
          <w:b w:val="0"/>
          <w:bCs w:val="0"/>
          <w:sz w:val="24"/>
          <w:szCs w:val="24"/>
          <w:highlight w:val="none"/>
        </w:rPr>
        <w:t xml:space="preserve">任何负偏离，须提供《商务响应承诺函》，否则响应无效。</w:t>
      </w:r>
      <w:r/>
    </w:p>
    <w:p>
      <w:pP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numPr>
          <w:ilvl w:val="0"/>
          <w:numId w:val="0"/>
        </w:numPr>
        <w:ind w:left="0" w:firstLine="0"/>
        <w:spacing w:line="240" w:lineRule="auto"/>
        <w:rPr>
          <w:rFonts w:hint="eastAsia" w:ascii="宋体" w:hAnsi="宋体" w:cs="宋体"/>
          <w:b/>
          <w:bCs/>
          <w:sz w:val="24"/>
          <w:szCs w:val="24"/>
          <w:highlight w:val="none"/>
          <w:lang w:val="en-US" w:eastAsia="zh-CN" w:bidi="ar-SA"/>
        </w:rPr>
        <w:outlineLvl w:val="1"/>
      </w:pPr>
      <w:r>
        <w:rPr>
          <w:rFonts w:hint="eastAsia" w:ascii="宋体" w:hAnsi="宋体" w:cs="宋体"/>
          <w:b/>
          <w:bCs/>
          <w:sz w:val="24"/>
          <w:szCs w:val="24"/>
          <w:highlight w:val="none"/>
          <w:lang w:val="en-US" w:eastAsia="zh-CN" w:bidi="ar-SA"/>
        </w:rPr>
        <w:t xml:space="preserve">七、采购标的的其他技术、服务等要求：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bidi="ar-SA"/>
        </w:rPr>
        <w:t xml:space="preserve">1.</w:t>
      </w:r>
      <w:r>
        <w:rPr>
          <w:rFonts w:hint="eastAsia" w:ascii="宋体" w:hAnsi="宋体" w:eastAsia="宋体" w:cs="宋体"/>
          <w:b/>
          <w:bCs/>
          <w:sz w:val="24"/>
          <w:szCs w:val="24"/>
          <w:highlight w:val="none"/>
          <w:lang w:val="en-US" w:eastAsia="zh-CN"/>
        </w:rPr>
        <w:t xml:space="preserve">包装要求：</w:t>
      </w:r>
      <w:r>
        <w:rPr>
          <w:rFonts w:hint="eastAsia" w:ascii="宋体" w:hAnsi="宋体" w:eastAsia="宋体" w:cs="宋体"/>
          <w:sz w:val="24"/>
          <w:szCs w:val="24"/>
          <w:highlight w:val="none"/>
          <w:lang w:val="en-US" w:eastAsia="zh-CN"/>
        </w:rPr>
        <w:t xml:space="preserve"> </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rPr>
        <w:t xml:space="preserve">商品包装环保要求：应当按《关于印发〈商品包装政府采购需求标准（试行）〉、〈快递包装政府采购需求标准（试行）〉的通知》（财办库〔2020〕123号）文件执行。</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rPr>
        <w:t xml:space="preserve">商品包装层数不得超过 3 层，空隙率不大于 40%；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lang w:val="en-US" w:eastAsia="zh-CN"/>
        </w:rPr>
        <w:t xml:space="preserve">商品包装尽可能使用单一材质的包装材料，如因功能需求必需使用不同材质，不同材质间应便于分离；</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lang w:val="en-US" w:eastAsia="zh-CN"/>
        </w:rPr>
        <w:t xml:space="preserve">商品包装中铅、汞、镉、六价铬的总含量应不大于100mg/kg；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rPr>
        <w:t xml:space="preserve">商品包装印刷使用的油墨中挥发性有机化合物(VOCs)含量应不大于 5%（以重量计）；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lang w:val="en-US" w:eastAsia="zh-CN"/>
        </w:rPr>
        <w:t xml:space="preserve">塑料材质商品包装上呈现的印刷颜色不得超过6色；</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lang w:val="en-US" w:eastAsia="zh-CN"/>
        </w:rPr>
        <w:t xml:space="preserve">纸质商品包装应使用75%以上的可再生纤维原料生产；</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lang w:val="en-US" w:eastAsia="zh-CN"/>
        </w:rPr>
        <w:t xml:space="preserve">木质商品包装的原料应来源于可持续性森林。</w:t>
      </w:r>
      <w:r/>
    </w:p>
    <w:p>
      <w:pPr>
        <w:numPr>
          <w:ilvl w:val="0"/>
          <w:numId w:val="0"/>
        </w:numPr>
        <w:ind w:left="0"/>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rPr>
        <w:t xml:space="preserve">快递包装环保要求：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sz w:val="24"/>
          <w:szCs w:val="24"/>
          <w:highlight w:val="none"/>
          <w:lang w:val="en-US" w:eastAsia="zh-CN"/>
        </w:rPr>
        <w:t xml:space="preserve">快递包装中重金属（铅、汞、镉、六价铬）总量应不大于 100mg/kg；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sz w:val="24"/>
          <w:szCs w:val="24"/>
          <w:highlight w:val="none"/>
          <w:lang w:val="en-US" w:eastAsia="zh-CN"/>
        </w:rPr>
        <w:t xml:space="preserve">快递包装印刷使用的油墨中不应添加邻苯二甲酸酯，其挥发性有机化合物(VOCs)含量应不大于5%（以重量计）；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sz w:val="24"/>
          <w:szCs w:val="24"/>
          <w:highlight w:val="none"/>
          <w:lang w:val="en-US" w:eastAsia="zh-CN"/>
        </w:rPr>
        <w:t xml:space="preserve">快递包装中使用纸基材的包装材料，纸基材中的有机氯的含量应不大于 150 mg/kg；</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sz w:val="24"/>
          <w:szCs w:val="24"/>
          <w:highlight w:val="none"/>
          <w:lang w:val="en-US" w:eastAsia="zh-CN"/>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zh-CN"/>
        </w:rPr>
        <w:t xml:space="preserve">快递中使用的塑料包装袋不得使用聚氯乙烯作为原料，且原料应为单一材质制成，生物分解率大于60%；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2.6</w:t>
      </w:r>
      <w:r>
        <w:rPr>
          <w:rFonts w:hint="eastAsia" w:ascii="宋体" w:hAnsi="宋体" w:eastAsia="宋体" w:cs="宋体"/>
          <w:sz w:val="24"/>
          <w:szCs w:val="24"/>
          <w:highlight w:val="none"/>
          <w:lang w:val="en-US" w:eastAsia="zh-CN"/>
        </w:rPr>
        <w:t xml:space="preserve">快递中使用的充气类填充物不得使用聚氯乙烯作为 原料，且原料为单一材质制成，生物分解率大于60%；</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2.7</w:t>
      </w:r>
      <w:r>
        <w:rPr>
          <w:rFonts w:hint="eastAsia" w:ascii="宋体" w:hAnsi="宋体" w:eastAsia="宋体" w:cs="宋体"/>
          <w:sz w:val="24"/>
          <w:szCs w:val="24"/>
          <w:highlight w:val="none"/>
          <w:lang w:val="en-US" w:eastAsia="zh-CN"/>
        </w:rPr>
        <w:t xml:space="preserve">快递中使用的集装袋应为单一材质制成，其重复使用次数应不小于 80 次；</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2.8</w:t>
      </w:r>
      <w:r>
        <w:rPr>
          <w:rFonts w:hint="eastAsia" w:ascii="宋体" w:hAnsi="宋体" w:eastAsia="宋体" w:cs="宋体"/>
          <w:sz w:val="24"/>
          <w:szCs w:val="24"/>
          <w:highlight w:val="none"/>
          <w:lang w:val="en-US" w:eastAsia="zh-CN"/>
        </w:rPr>
        <w:t xml:space="preserve">快递中应使用幅宽不大于45mm 的生物降解胶带；</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2.9</w:t>
      </w:r>
      <w:r>
        <w:rPr>
          <w:rFonts w:hint="eastAsia" w:ascii="宋体" w:hAnsi="宋体" w:eastAsia="宋体" w:cs="宋体"/>
          <w:sz w:val="24"/>
          <w:szCs w:val="24"/>
          <w:highlight w:val="none"/>
          <w:lang w:val="en-US" w:eastAsia="zh-CN"/>
        </w:rPr>
        <w:t xml:space="preserve">快递包装中不得使用溶剂型胶粘剂；</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2.10</w:t>
      </w:r>
      <w:r>
        <w:rPr>
          <w:rFonts w:hint="eastAsia" w:ascii="宋体" w:hAnsi="宋体" w:eastAsia="宋体" w:cs="宋体"/>
          <w:sz w:val="24"/>
          <w:szCs w:val="24"/>
          <w:highlight w:val="none"/>
          <w:lang w:val="en-US" w:eastAsia="zh-CN"/>
        </w:rPr>
        <w:t xml:space="preserve">快递应使用电子面单；</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2.11</w:t>
      </w:r>
      <w:r>
        <w:rPr>
          <w:rFonts w:hint="eastAsia" w:ascii="宋体" w:hAnsi="宋体" w:eastAsia="宋体" w:cs="宋体"/>
          <w:sz w:val="24"/>
          <w:szCs w:val="24"/>
          <w:highlight w:val="none"/>
          <w:lang w:val="en-US" w:eastAsia="zh-CN"/>
        </w:rPr>
        <w:t xml:space="preserve">直接使用商品包装作为快递包装的商品，其商品包装满足《商品包装政府采购需求标准（试行）》即可；</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2.12</w:t>
      </w:r>
      <w:r>
        <w:rPr>
          <w:rFonts w:hint="eastAsia" w:ascii="宋体" w:hAnsi="宋体" w:eastAsia="宋体" w:cs="宋体"/>
          <w:sz w:val="24"/>
          <w:szCs w:val="24"/>
          <w:highlight w:val="none"/>
          <w:lang w:val="en-US" w:eastAsia="zh-CN"/>
        </w:rPr>
        <w:t xml:space="preserve">快递包装产品质量和封装方式应符合相关国家或行业标准技术指标要求。</w:t>
      </w:r>
      <w:r/>
    </w:p>
    <w:p>
      <w:pPr>
        <w:numPr>
          <w:ilvl w:val="0"/>
          <w:numId w:val="0"/>
        </w:numPr>
        <w:ind w:left="0"/>
        <w:spacing w:line="240" w:lineRule="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绿色数据中心</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低挥发性有机化合物产品：</w:t>
      </w:r>
      <w:r>
        <w:rPr>
          <w:rFonts w:hint="eastAsia" w:ascii="宋体" w:hAnsi="宋体" w:eastAsia="宋体" w:cs="宋体"/>
          <w:sz w:val="24"/>
          <w:szCs w:val="24"/>
          <w:highlight w:val="none"/>
          <w:lang w:val="en-US"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numPr>
          <w:ilvl w:val="0"/>
          <w:numId w:val="0"/>
        </w:numPr>
        <w:ind w:left="0"/>
        <w:spacing w:line="240" w:lineRule="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节能环保产品</w:t>
      </w:r>
      <w:r>
        <w:rPr>
          <w:rFonts w:hint="eastAsia" w:ascii="宋体" w:hAnsi="宋体" w:eastAsia="宋体" w:cs="宋体"/>
          <w:sz w:val="24"/>
          <w:szCs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left="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绿色低碳管理目标和服务要求：</w:t>
      </w:r>
      <w:r>
        <w:rPr>
          <w:rFonts w:hint="eastAsia" w:ascii="宋体" w:hAnsi="宋体" w:eastAsia="宋体" w:cs="宋体"/>
          <w:sz w:val="24"/>
          <w:szCs w:val="24"/>
          <w:highlight w:val="none"/>
          <w:lang w:val="en-US" w:eastAsia="zh-CN"/>
        </w:rPr>
        <w:t xml:space="preserve">在物业、合同能源管理等服务类采购项目需求</w:t>
      </w:r>
      <w:r>
        <w:rPr>
          <w:rFonts w:hint="eastAsia" w:ascii="宋体" w:hAnsi="宋体" w:eastAsia="宋体" w:cs="宋体"/>
          <w:b w:val="0"/>
          <w:bCs w:val="0"/>
          <w:sz w:val="24"/>
          <w:szCs w:val="24"/>
          <w:highlight w:val="none"/>
          <w:lang w:val="en-US" w:eastAsia="zh-CN"/>
        </w:rPr>
        <w:t xml:space="preserve">中，要强化绿色低碳管理目标和服务要求，促进绿色产品和服务推广应用。</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7.运输、安装及验收</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7.1 供应商确保设备安全无损地运抵采购人指定现场，并承担设备的运费、保险费、装卸费等费用。</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7.2 供应商派出的安装人员应具备相关的专业知识、技术水平、相应资质和能力，熟悉本合同所述货物的规格、技术指标及安装工艺，有足够能力安装本合同的货物并使之达到本合同要求。</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7.3 如供应商提供的设备设有维修软件密码，应保证无条件地为采购人永久免费打开。</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7.4 设备安装、调试、培训结束，采购人对设备试用后进行验收（时间由双方商定），供应商免费派工程师到达现场协助验收工作，填好相应的安装、调试、培训及验收等相关表格并签字。</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7.6 供应商提供设备安装和维修所需的专业工具和辅助材料。</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7.7 验收标准：现行国家/行业标准，企业标准及上述技术规格。</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8.技术培训</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8.1 在安装过程中或安装结束后，供应商工程师或有关人员有义务对采购人用户单位工程师和操作人员进行现场维修、保养、操作培训，解答用户单位人员提出的问题。</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8.2 供应商应派专业技术人员在现场对采购人医院使用人员进行培训指导，在使用一段时间后可根据医院及科室的要求另行安排培训计划。</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8.3供应商提供设备的使用说明和相关要求及注意事项，协助采购人制定设备操作规程。</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9.质保期</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bCs/>
          <w:sz w:val="24"/>
          <w:szCs w:val="24"/>
          <w:highlight w:val="none"/>
          <w:lang w:val="en-US" w:eastAsia="zh-CN" w:bidi="ar-SA"/>
        </w:rPr>
        <w:t xml:space="preserve">上述设备整机免费原厂质保三年</w:t>
      </w:r>
      <w:r>
        <w:rPr>
          <w:rFonts w:hint="eastAsia" w:ascii="宋体" w:hAnsi="宋体" w:cs="宋体"/>
          <w:b w:val="0"/>
          <w:bCs w:val="0"/>
          <w:sz w:val="24"/>
          <w:szCs w:val="24"/>
          <w:highlight w:val="none"/>
          <w:lang w:val="en-US" w:eastAsia="zh-CN" w:bidi="ar-SA"/>
        </w:rPr>
        <w:t xml:space="preserve">，设备验收时须提供有效的质保证明材料；供应商应按生产厂家的保修规定和响应文件说明的服务承诺做好免费保修等服务；保修期内免收材料及人工等一切费用。保修期满后，维修方须终身提供维修服务且只收取维修材料成本费，免收其他一切费用。</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10.售后服务</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10.1 供应商确保设备保修期内开机率为95%，如设备故障停机率超过5%（一年按365天计算，每年18天），每超过一天，保修期延长两周。</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10.2 保修期结束后，中标人提供维修服务，只收配件费用。</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10.3无论在保修期内还是保修期外，中标人必须上门维修，中标人工程师至采购人单位维修本设备，必须事先与医院设备耗材科取得联系，并做相应登记；在维修过程中与采购人工程师共同完成维修工作。否则引起的一切责任由中标人负责。提供质保期外全包维修服务、零配件、耗材优惠供应方案。质保期内定期对设备进行免费保养和维护，提供终身维护和保养服务（请提供技术援助电话和售后服务电话）。</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10.4在安装过程中或安装结束后，中标人工程师或有关人员有义务对采购人工程师和操作人员进行现场维修、保养、操作培训并提供快捷操作指南（过塑封好，挂在设备上），解答采购方人员提出的问题。必要时提供正规培训班培训，确保操作人员掌握完成日常工作所需的基本操作方法为止，工程师掌握基本的维护保养操作技术为止。并负责承担一切费用。</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10.5中标人接故障通知1小时内响应，一般问题在4小时内解决；遇到大的问题，6小时内派技术人员到达现场维修。</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11.资料、备件及其他</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11.1资料：中标人需在交货后五个工作日内免费提供全套资料，含产品合格证（国产设备）、出厂计量合格证（强检设备）、操作手册、维修手册（含详细电路图）、如技术资料不全，采购人有权不支付货款或退货，因此产生的损失由中标人自行承担。</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11.2若设备无法在规定时间完成维修工作的，提供备用件。</w:t>
      </w:r>
      <w:r/>
    </w:p>
    <w:p>
      <w:pPr>
        <w:numPr>
          <w:ilvl w:val="0"/>
          <w:numId w:val="0"/>
        </w:numPr>
        <w:ind w:left="0" w:firstLine="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11.3投标产品必须是整套全新的符合国家有关质量标准制造，满足本采购需求的技术指标的设备。否则，采购人有权解除合同，同时报有关监督管理部门处理备案，由此造成采购人的经济损失由中标人全部承担赔偿。</w:t>
      </w:r>
      <w:r/>
    </w:p>
    <w:p>
      <w:pPr>
        <w:numPr>
          <w:ilvl w:val="0"/>
          <w:numId w:val="0"/>
        </w:numPr>
        <w:ind w:left="0" w:firstLine="0"/>
        <w:spacing w:line="240" w:lineRule="auto"/>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r>
      <w:r/>
    </w:p>
    <w:p>
      <w:pPr>
        <w:numPr>
          <w:ilvl w:val="0"/>
          <w:numId w:val="0"/>
        </w:numPr>
        <w:ind w:left="0" w:firstLine="0"/>
        <w:spacing w:line="240" w:lineRule="auto"/>
        <w:rPr>
          <w:rFonts w:hint="eastAsia" w:ascii="宋体" w:hAnsi="宋体" w:cs="宋体"/>
          <w:b/>
          <w:bCs/>
          <w:sz w:val="24"/>
          <w:szCs w:val="24"/>
          <w:highlight w:val="none"/>
          <w:lang w:eastAsia="zh-CN"/>
        </w:rPr>
        <w:outlineLvl w:val="1"/>
      </w:pPr>
      <w:r>
        <w:rPr>
          <w:rFonts w:hint="eastAsia" w:ascii="宋体" w:hAnsi="宋体" w:cs="宋体"/>
          <w:b/>
          <w:bCs/>
          <w:sz w:val="24"/>
          <w:szCs w:val="24"/>
          <w:highlight w:val="none"/>
          <w:lang w:val="en-US" w:eastAsia="zh-CN" w:bidi="ar-SA"/>
        </w:rPr>
        <w:t xml:space="preserve">八、</w:t>
      </w:r>
      <w:r>
        <w:rPr>
          <w:rFonts w:hint="eastAsia" w:ascii="宋体" w:hAnsi="宋体" w:eastAsia="宋体" w:cs="宋体"/>
          <w:b/>
          <w:bCs/>
          <w:sz w:val="24"/>
          <w:szCs w:val="24"/>
          <w:highlight w:val="none"/>
        </w:rPr>
        <w:t xml:space="preserve">付款方式</w:t>
      </w:r>
      <w:r>
        <w:rPr>
          <w:rFonts w:hint="eastAsia" w:ascii="宋体" w:hAnsi="宋体" w:cs="宋体"/>
          <w:b/>
          <w:bCs/>
          <w:sz w:val="24"/>
          <w:szCs w:val="24"/>
          <w:highlight w:val="none"/>
          <w:lang w:eastAsia="zh-CN"/>
        </w:rPr>
        <w:t xml:space="preserve">：</w:t>
      </w:r>
      <w:r/>
    </w:p>
    <w:p>
      <w:pPr>
        <w:numPr>
          <w:ilvl w:val="0"/>
          <w:numId w:val="0"/>
        </w:numPr>
        <w:ind w:left="0"/>
        <w:spacing w:line="240" w:lineRule="auto"/>
        <w:rPr>
          <w:rFonts w:hint="eastAsia" w:ascii="宋体" w:hAnsi="宋体" w:cs="宋体"/>
          <w:b w:val="0"/>
          <w:bCs w:val="0"/>
          <w:sz w:val="24"/>
          <w:szCs w:val="24"/>
          <w:highlight w:val="none"/>
          <w:lang w:eastAsia="zh-CN"/>
        </w:rPr>
      </w:pPr>
      <w:r>
        <w:rPr>
          <w:rFonts w:hint="eastAsia" w:ascii="宋体" w:hAnsi="宋体" w:cs="宋体"/>
          <w:sz w:val="24"/>
          <w:szCs w:val="24"/>
          <w:highlight w:val="none"/>
          <w:lang w:val="en-US" w:eastAsia="zh-CN" w:bidi="ar-SA"/>
        </w:rPr>
        <w:t xml:space="preserve">1.</w:t>
      </w:r>
      <w:r>
        <w:rPr>
          <w:rFonts w:hint="eastAsia" w:ascii="宋体" w:hAnsi="宋体" w:cs="宋体"/>
          <w:b w:val="0"/>
          <w:bCs w:val="0"/>
          <w:sz w:val="24"/>
          <w:szCs w:val="24"/>
          <w:highlight w:val="none"/>
          <w:lang w:eastAsia="zh-CN"/>
        </w:rPr>
        <w:t xml:space="preserve">设备到货、安装、调试、培训、验收合格后30天内付合同款90%，设备使用满一年后30日付合同款5%，使用满三年后30日内付清余款。</w:t>
      </w:r>
      <w:r/>
    </w:p>
    <w:p>
      <w:pPr>
        <w:numPr>
          <w:ilvl w:val="0"/>
          <w:numId w:val="0"/>
        </w:numPr>
        <w:ind w:left="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rPr>
        <w:t xml:space="preserve">采购资金由</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支付，</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向</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开具合法票据，通过信函或当面送达</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，发票不得由第三方代开，</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未提供合法票据的，</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lang w:val="en-US" w:eastAsia="zh-CN"/>
        </w:rPr>
        <w:t xml:space="preserve">有权拒绝支付合同款项，产生的损失由</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承担。</w:t>
      </w:r>
      <w:r/>
    </w:p>
    <w:p>
      <w:pPr>
        <w:spacing w:line="24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numPr>
          <w:ilvl w:val="0"/>
          <w:numId w:val="0"/>
        </w:numPr>
        <w:spacing w:line="240" w:lineRule="auto"/>
        <w:rPr>
          <w:rFonts w:hint="eastAsia" w:ascii="宋体" w:hAnsi="宋体" w:eastAsia="宋体" w:cs="宋体"/>
          <w:sz w:val="24"/>
          <w:szCs w:val="24"/>
          <w:highlight w:val="none"/>
        </w:rPr>
        <w:outlineLvl w:val="1"/>
      </w:pPr>
      <w:r>
        <w:rPr>
          <w:rFonts w:hint="eastAsia" w:ascii="宋体" w:hAnsi="宋体" w:eastAsia="宋体" w:cs="宋体"/>
          <w:b/>
          <w:bCs/>
          <w:sz w:val="24"/>
          <w:szCs w:val="24"/>
          <w:highlight w:val="none"/>
          <w:lang w:val="en-US" w:eastAsia="zh-CN" w:bidi="ar-SA"/>
        </w:rPr>
        <w:t xml:space="preserve">九、</w:t>
      </w:r>
      <w:r>
        <w:rPr>
          <w:rFonts w:hint="eastAsia" w:ascii="宋体" w:hAnsi="宋体" w:eastAsia="宋体" w:cs="宋体"/>
          <w:b/>
          <w:bCs/>
          <w:sz w:val="24"/>
          <w:szCs w:val="24"/>
          <w:highlight w:val="none"/>
        </w:rPr>
        <w:t xml:space="preserve">履约保证金：</w:t>
      </w:r>
      <w:r>
        <w:rPr>
          <w:rFonts w:hint="eastAsia" w:ascii="宋体" w:hAnsi="宋体" w:eastAsia="宋体" w:cs="宋体"/>
          <w:sz w:val="24"/>
          <w:szCs w:val="24"/>
          <w:highlight w:val="none"/>
        </w:rPr>
        <w:t xml:space="preserve">本项目免收履约保证金。</w:t>
      </w:r>
      <w:r/>
    </w:p>
    <w:p>
      <w:pPr>
        <w:rPr>
          <w:highlight w:val="none"/>
        </w:rPr>
      </w:pPr>
      <w:r>
        <w:rPr>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pageBreakBefore w:val="0"/>
        <w:spacing w:line="240" w:lineRule="auto"/>
        <w:rPr>
          <w:rFonts w:hint="eastAsia" w:ascii="黑体" w:hAnsi="Arial" w:eastAsia="黑体" w:cs="Arial"/>
          <w:b/>
          <w:bCs/>
          <w:color w:val="auto"/>
          <w:sz w:val="44"/>
          <w:szCs w:val="44"/>
          <w:highlight w:val="none"/>
          <w:lang w:eastAsia="zh-CN"/>
        </w:rPr>
        <w:outlineLvl w:val="0"/>
      </w:pPr>
      <w:r/>
      <w:bookmarkStart w:id="312" w:name="_Toc22199"/>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5"/>
      <w:r/>
      <w:bookmarkEnd w:id="312"/>
      <w:r/>
      <w:r/>
    </w:p>
    <w:p>
      <w:pPr>
        <w:pStyle w:val="1082"/>
        <w:jc w:val="center"/>
        <w:pageBreakBefore w:val="0"/>
        <w:spacing w:after="0" w:line="360" w:lineRule="auto"/>
        <w:rPr>
          <w:rFonts w:hint="eastAsia" w:ascii="宋体" w:hAnsi="宋体" w:eastAsia="宋体" w:cs="宋体"/>
          <w:b/>
          <w:bCs/>
          <w:color w:val="auto"/>
          <w:spacing w:val="-20"/>
          <w:sz w:val="48"/>
          <w:szCs w:val="48"/>
          <w:highlight w:val="none"/>
        </w:rPr>
        <w:outlineLvl w:val="9"/>
      </w:pPr>
      <w:r/>
      <w:bookmarkStart w:id="313" w:name="_Toc30021"/>
      <w:r/>
      <w:r/>
    </w:p>
    <w:p>
      <w:pPr>
        <w:pStyle w:val="1082"/>
        <w:ind w:left="0" w:firstLine="0"/>
        <w:jc w:val="both"/>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r>
      <w:r/>
    </w:p>
    <w:p>
      <w:pPr>
        <w:pStyle w:val="1082"/>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bookmarkEnd w:id="313"/>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1.本合同标准文本适用于购买现成货物的采购项目，不包括需要供应商定制开发、创新研发的货物采购项目。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3.本合同标准文本各条款中，如涉及填写多家供应商、制造商，多种采购标的、分包主要内容等信息的，可根据采购项目具体情况添加信息项。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14" w:name="_Toc5843"/>
      <w:r/>
      <w:bookmarkStart w:id="315" w:name="_Toc22209"/>
      <w:r>
        <w:rPr>
          <w:rFonts w:hint="eastAsia" w:ascii="宋体" w:hAnsi="宋体" w:eastAsia="宋体" w:cs="宋体"/>
          <w:b/>
          <w:bCs/>
          <w:color w:val="auto"/>
          <w:sz w:val="28"/>
          <w:szCs w:val="28"/>
          <w:highlight w:val="none"/>
        </w:rPr>
        <w:t xml:space="preserve">第一节 政府采购合同协议书</w:t>
      </w:r>
      <w:bookmarkEnd w:id="314"/>
      <w:r/>
      <w:bookmarkEnd w:id="315"/>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083"/>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16" w:name="_Toc11608"/>
      <w:r>
        <w:rPr>
          <w:rFonts w:hint="eastAsia" w:ascii="宋体" w:hAnsi="宋体" w:eastAsia="宋体" w:cs="宋体"/>
          <w:b/>
          <w:color w:val="auto"/>
          <w:szCs w:val="21"/>
          <w:highlight w:val="none"/>
        </w:rPr>
        <w:t xml:space="preserve">项目信息</w:t>
      </w:r>
      <w:bookmarkEnd w:id="316"/>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104"/>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1104"/>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1104"/>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04"/>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1104"/>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1104"/>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1104"/>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110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110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1104"/>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1104"/>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（如供应商和制造商不同，请分别填写）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（如果供应商和制造商不同，只填写制造商类型）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（9）中标（成交）供应商是否为外商投资企业：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1104"/>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1104"/>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1104"/>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1104"/>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17" w:name="_Toc18353"/>
      <w:r>
        <w:rPr>
          <w:rFonts w:hint="eastAsia" w:ascii="宋体" w:hAnsi="宋体" w:eastAsia="宋体" w:cs="宋体"/>
          <w:b/>
          <w:color w:val="auto"/>
          <w:szCs w:val="21"/>
          <w:highlight w:val="none"/>
        </w:rPr>
        <w:t xml:space="preserve">合同金额</w:t>
      </w:r>
      <w:bookmarkEnd w:id="317"/>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110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2"/>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318" w:name="_Toc12443"/>
      <w:r>
        <w:rPr>
          <w:rFonts w:hint="eastAsia" w:ascii="宋体" w:hAnsi="宋体" w:eastAsia="宋体" w:cs="宋体"/>
          <w:b/>
          <w:bCs w:val="0"/>
          <w:color w:val="auto"/>
          <w:szCs w:val="21"/>
          <w:highlight w:val="none"/>
        </w:rPr>
        <w:t xml:space="preserve">合同履行</w:t>
      </w:r>
      <w:bookmarkEnd w:id="318"/>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10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110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19" w:name="_Toc6378"/>
      <w:r>
        <w:rPr>
          <w:rFonts w:hint="eastAsia" w:ascii="宋体" w:hAnsi="宋体" w:eastAsia="宋体" w:cs="宋体"/>
          <w:b/>
          <w:color w:val="auto"/>
          <w:szCs w:val="21"/>
          <w:highlight w:val="none"/>
        </w:rPr>
        <w:t xml:space="preserve">合同验收</w:t>
      </w:r>
      <w:bookmarkEnd w:id="319"/>
      <w:r/>
      <w:r/>
    </w:p>
    <w:p>
      <w:pPr>
        <w:numPr>
          <w:ilvl w:val="0"/>
          <w:numId w:val="3"/>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是否邀请本项目的其他供应商</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1104"/>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20" w:name="_Toc22020"/>
      <w:r>
        <w:rPr>
          <w:rFonts w:hint="eastAsia" w:ascii="宋体" w:hAnsi="宋体" w:eastAsia="宋体" w:cs="宋体"/>
          <w:b/>
          <w:color w:val="auto"/>
          <w:szCs w:val="21"/>
          <w:highlight w:val="none"/>
        </w:rPr>
        <w:t xml:space="preserve">组成合同的文件</w:t>
      </w:r>
      <w:bookmarkEnd w:id="320"/>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（6）采购文件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1104"/>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21" w:name="_Toc24341"/>
      <w:r>
        <w:rPr>
          <w:rFonts w:hint="eastAsia" w:ascii="宋体" w:hAnsi="宋体" w:eastAsia="宋体" w:cs="宋体"/>
          <w:b/>
          <w:color w:val="auto"/>
          <w:szCs w:val="21"/>
          <w:highlight w:val="none"/>
        </w:rPr>
        <w:t xml:space="preserve">合同生效</w:t>
      </w:r>
      <w:bookmarkEnd w:id="321"/>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2"/>
        </w:numPr>
        <w:ind w:firstLine="422"/>
        <w:pageBreakBefore w:val="0"/>
        <w:spacing w:before="0" w:line="360" w:lineRule="auto"/>
        <w:rPr>
          <w:rFonts w:hint="eastAsia" w:ascii="宋体" w:hAnsi="宋体" w:eastAsia="宋体" w:cs="宋体"/>
          <w:b/>
          <w:color w:val="auto"/>
          <w:szCs w:val="21"/>
          <w:highlight w:val="none"/>
        </w:rPr>
        <w:outlineLvl w:val="9"/>
      </w:pPr>
      <w:r/>
      <w:bookmarkStart w:id="322" w:name="_Toc23415"/>
      <w:r>
        <w:rPr>
          <w:rFonts w:hint="eastAsia" w:ascii="宋体" w:hAnsi="宋体" w:eastAsia="宋体" w:cs="宋体"/>
          <w:b/>
          <w:color w:val="auto"/>
          <w:szCs w:val="21"/>
          <w:highlight w:val="none"/>
        </w:rPr>
        <w:t xml:space="preserve">合同份数</w:t>
      </w:r>
      <w:bookmarkEnd w:id="32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110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1105"/>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107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1083"/>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323" w:name="_Toc27624"/>
      <w:r/>
      <w:bookmarkStart w:id="324" w:name="_Toc21891"/>
      <w:r>
        <w:rPr>
          <w:rFonts w:hint="eastAsia" w:ascii="宋体" w:hAnsi="宋体" w:eastAsia="宋体" w:cs="宋体"/>
          <w:b/>
          <w:bCs/>
          <w:color w:val="auto"/>
          <w:sz w:val="28"/>
          <w:szCs w:val="28"/>
          <w:highlight w:val="none"/>
        </w:rPr>
        <w:t xml:space="preserve">第二节 政府采购合同通用条款</w:t>
      </w:r>
      <w:bookmarkEnd w:id="323"/>
      <w:r/>
      <w:bookmarkEnd w:id="324"/>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325"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32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供应商按采购文件、投标（响应）文件的规定，根据分包意向协议，将中标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项目中的部分履约内容，分给具有相应资质条件的供应商履行合同的行为。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以一个供应商的身份共同参加政府采购的主体。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4"/>
        </w:numPr>
        <w:jc w:val="left"/>
        <w:pageBreakBefore w:val="0"/>
        <w:spacing w:before="0" w:line="360" w:lineRule="auto"/>
        <w:rPr>
          <w:rFonts w:hint="eastAsia" w:ascii="宋体" w:hAnsi="宋体" w:eastAsia="宋体" w:cs="宋体"/>
          <w:b/>
          <w:bCs/>
          <w:color w:val="auto"/>
          <w:sz w:val="24"/>
          <w:highlight w:val="none"/>
        </w:rPr>
        <w:outlineLvl w:val="9"/>
      </w:pPr>
      <w:r/>
      <w:bookmarkStart w:id="326" w:name="_Toc1083"/>
      <w:r>
        <w:rPr>
          <w:rFonts w:hint="eastAsia" w:ascii="宋体" w:hAnsi="宋体" w:eastAsia="宋体" w:cs="宋体"/>
          <w:b/>
          <w:color w:val="auto"/>
          <w:sz w:val="24"/>
          <w:highlight w:val="none"/>
        </w:rPr>
        <w:t xml:space="preserve">合同标的及金额</w:t>
      </w:r>
      <w:bookmarkEnd w:id="326"/>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327"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32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28"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32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29"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32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1082"/>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1082"/>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5"/>
        </w:numPr>
        <w:jc w:val="left"/>
        <w:pageBreakBefore w:val="0"/>
        <w:spacing w:before="0" w:line="360" w:lineRule="auto"/>
        <w:rPr>
          <w:rFonts w:hint="eastAsia" w:ascii="宋体" w:hAnsi="宋体" w:eastAsia="宋体" w:cs="宋体"/>
          <w:b/>
          <w:bCs/>
          <w:color w:val="auto"/>
          <w:sz w:val="24"/>
          <w:highlight w:val="none"/>
        </w:rPr>
        <w:outlineLvl w:val="9"/>
      </w:pPr>
      <w:r/>
      <w:bookmarkStart w:id="330"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330"/>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1"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33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1104"/>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332"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2"/>
      <w:r/>
      <w:r/>
    </w:p>
    <w:p>
      <w:pPr>
        <w:pStyle w:val="1086"/>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086"/>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3"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4"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33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335"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35"/>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6"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36"/>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7"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37"/>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082"/>
        <w:pageBreakBefore w:val="0"/>
        <w:spacing w:after="0" w:line="360" w:lineRule="auto"/>
        <w:rPr>
          <w:rFonts w:hint="eastAsia" w:ascii="宋体" w:hAnsi="宋体" w:eastAsia="宋体" w:cs="宋体"/>
          <w:b/>
          <w:bCs/>
          <w:color w:val="auto"/>
          <w:sz w:val="24"/>
          <w:szCs w:val="24"/>
          <w:highlight w:val="none"/>
        </w:rPr>
        <w:outlineLvl w:val="9"/>
      </w:pPr>
      <w:r/>
      <w:bookmarkStart w:id="338"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3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339"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3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1104"/>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0"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0"/>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6"/>
        </w:numPr>
        <w:jc w:val="left"/>
        <w:pageBreakBefore w:val="0"/>
        <w:spacing w:before="0" w:line="360" w:lineRule="auto"/>
        <w:rPr>
          <w:rFonts w:hint="eastAsia" w:ascii="宋体" w:hAnsi="宋体" w:eastAsia="宋体" w:cs="宋体"/>
          <w:b/>
          <w:color w:val="auto"/>
          <w:sz w:val="24"/>
          <w:highlight w:val="none"/>
        </w:rPr>
        <w:outlineLvl w:val="9"/>
      </w:pPr>
      <w:r/>
      <w:bookmarkStart w:id="341"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1"/>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（1）合同履行过程中因供应商就采购文件、采购过程或结果提起投诉的，甲方认为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10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1104"/>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10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2"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3"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4"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4"/>
      <w:r/>
      <w:r/>
    </w:p>
    <w:p>
      <w:pPr>
        <w:pStyle w:val="110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10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0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345"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5"/>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082"/>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346"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46"/>
      <w:r/>
      <w:r/>
    </w:p>
    <w:p>
      <w:pPr>
        <w:pStyle w:val="110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10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347"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47"/>
      <w:r/>
      <w:r/>
    </w:p>
    <w:p>
      <w:pPr>
        <w:pStyle w:val="1104"/>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04"/>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7"/>
        </w:numPr>
        <w:jc w:val="left"/>
        <w:pageBreakBefore w:val="0"/>
        <w:spacing w:before="0" w:line="360" w:lineRule="auto"/>
        <w:rPr>
          <w:rFonts w:hint="eastAsia" w:ascii="宋体" w:hAnsi="宋体" w:eastAsia="宋体" w:cs="宋体"/>
          <w:b/>
          <w:bCs/>
          <w:color w:val="auto"/>
          <w:sz w:val="24"/>
          <w:highlight w:val="none"/>
        </w:rPr>
        <w:outlineLvl w:val="9"/>
      </w:pPr>
      <w:r/>
      <w:bookmarkStart w:id="348" w:name="_Toc7670"/>
      <w:r>
        <w:rPr>
          <w:rFonts w:hint="eastAsia" w:ascii="宋体" w:hAnsi="宋体" w:eastAsia="宋体" w:cs="宋体"/>
          <w:b/>
          <w:bCs/>
          <w:color w:val="auto"/>
          <w:sz w:val="24"/>
          <w:highlight w:val="none"/>
        </w:rPr>
        <w:t xml:space="preserve">合同未尽事项</w:t>
      </w:r>
      <w:bookmarkEnd w:id="348"/>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49"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50" w:name="_Toc6892"/>
      <w:r>
        <w:rPr>
          <w:rFonts w:hint="eastAsia" w:ascii="宋体" w:hAnsi="宋体" w:eastAsia="宋体" w:cs="宋体"/>
          <w:b/>
          <w:bCs/>
          <w:color w:val="auto"/>
          <w:sz w:val="28"/>
          <w:szCs w:val="28"/>
          <w:highlight w:val="none"/>
        </w:rPr>
        <w:t xml:space="preserve">第三节 政府采购合同专用条款</w:t>
      </w:r>
      <w:bookmarkEnd w:id="349"/>
      <w:r/>
      <w:bookmarkEnd w:id="350"/>
      <w:r/>
      <w:r/>
    </w:p>
    <w:tbl>
      <w:tblPr>
        <w:tblStyle w:val="1078"/>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51" w:name="_Toc24567"/>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6"/>
      <w:r/>
      <w:bookmarkEnd w:id="307"/>
      <w:r/>
      <w:bookmarkEnd w:id="308"/>
      <w:r/>
      <w:bookmarkEnd w:id="309"/>
      <w:r/>
      <w:bookmarkEnd w:id="310"/>
      <w:r/>
      <w:bookmarkEnd w:id="351"/>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52" w:name="_Toc428"/>
      <w:r/>
      <w:bookmarkStart w:id="353" w:name="_Toc12686"/>
      <w:r/>
      <w:bookmarkStart w:id="354" w:name="_Toc25842"/>
      <w:r/>
      <w:bookmarkStart w:id="355" w:name="_Toc19303"/>
      <w:r>
        <w:rPr>
          <w:rFonts w:hint="eastAsia" w:ascii="宋体" w:hAnsi="宋体" w:eastAsia="宋体" w:cs="宋体"/>
          <w:b/>
          <w:bCs/>
          <w:color w:val="auto"/>
          <w:sz w:val="24"/>
          <w:szCs w:val="24"/>
          <w:highlight w:val="none"/>
          <w:lang w:val="en-US" w:eastAsia="zh-CN"/>
        </w:rPr>
        <w:t xml:space="preserve">一、评审方法</w:t>
      </w:r>
      <w:bookmarkEnd w:id="352"/>
      <w:r/>
      <w:bookmarkEnd w:id="353"/>
      <w:r/>
      <w:bookmarkEnd w:id="354"/>
      <w:r/>
      <w:bookmarkEnd w:id="355"/>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56" w:name="_Toc24984"/>
      <w:r/>
      <w:bookmarkStart w:id="357" w:name="_Toc29321"/>
      <w:r/>
      <w:bookmarkStart w:id="358" w:name="_Toc13550"/>
      <w:r>
        <w:rPr>
          <w:rFonts w:hint="eastAsia" w:ascii="宋体" w:hAnsi="宋体" w:eastAsia="宋体" w:cs="宋体"/>
          <w:b/>
          <w:bCs/>
          <w:color w:val="auto"/>
          <w:sz w:val="24"/>
          <w:szCs w:val="24"/>
          <w:highlight w:val="none"/>
          <w:lang w:eastAsia="zh-CN"/>
        </w:rPr>
        <w:t xml:space="preserve">1.资格审查</w:t>
      </w:r>
      <w:bookmarkEnd w:id="356"/>
      <w:r/>
      <w:bookmarkEnd w:id="357"/>
      <w:r/>
      <w:bookmarkEnd w:id="358"/>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59" w:name="_Toc11698"/>
      <w:r/>
      <w:bookmarkStart w:id="360" w:name="_Toc1685"/>
      <w:r/>
      <w:bookmarkStart w:id="361" w:name="_Toc24372"/>
      <w:r>
        <w:rPr>
          <w:rFonts w:hint="eastAsia" w:ascii="宋体" w:hAnsi="宋体" w:eastAsia="宋体" w:cs="宋体"/>
          <w:b/>
          <w:bCs/>
          <w:color w:val="auto"/>
          <w:sz w:val="24"/>
          <w:szCs w:val="24"/>
          <w:highlight w:val="none"/>
          <w:lang w:eastAsia="zh-CN"/>
        </w:rPr>
        <w:t xml:space="preserve">2.符合性审查</w:t>
      </w:r>
      <w:bookmarkEnd w:id="359"/>
      <w:r/>
      <w:bookmarkEnd w:id="360"/>
      <w:r/>
      <w:bookmarkEnd w:id="361"/>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2" w:name="_Toc23724"/>
      <w:r/>
      <w:bookmarkStart w:id="363" w:name="_Toc4205"/>
      <w:r/>
      <w:bookmarkStart w:id="364" w:name="_Toc5830"/>
      <w:r>
        <w:rPr>
          <w:rFonts w:hint="eastAsia" w:ascii="宋体" w:hAnsi="宋体" w:eastAsia="宋体" w:cs="宋体"/>
          <w:b/>
          <w:bCs/>
          <w:color w:val="auto"/>
          <w:sz w:val="24"/>
          <w:szCs w:val="24"/>
          <w:highlight w:val="none"/>
          <w:lang w:eastAsia="zh-CN"/>
        </w:rPr>
        <w:t xml:space="preserve">3.响应文件的澄清</w:t>
      </w:r>
      <w:bookmarkEnd w:id="362"/>
      <w:r/>
      <w:bookmarkEnd w:id="363"/>
      <w:r/>
      <w:bookmarkEnd w:id="364"/>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5" w:name="_Toc7715"/>
      <w:r/>
      <w:bookmarkStart w:id="366" w:name="_Toc11158"/>
      <w:r/>
      <w:bookmarkStart w:id="367" w:name="_Toc978"/>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65"/>
      <w:r/>
      <w:bookmarkEnd w:id="366"/>
      <w:r/>
      <w:bookmarkEnd w:id="367"/>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8" w:name="_Toc20672"/>
      <w:r/>
      <w:bookmarkStart w:id="369" w:name="_Toc24376"/>
      <w:r/>
      <w:bookmarkStart w:id="370" w:name="_Toc21142"/>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68"/>
      <w:r/>
      <w:bookmarkEnd w:id="369"/>
      <w:r/>
      <w:bookmarkEnd w:id="370"/>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1" w:name="_Toc31550"/>
      <w:r/>
      <w:bookmarkStart w:id="372" w:name="_Toc22905"/>
      <w:r/>
      <w:bookmarkStart w:id="373" w:name="_Toc28930"/>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1"/>
      <w:r/>
      <w:bookmarkEnd w:id="372"/>
      <w:r/>
      <w:bookmarkEnd w:id="373"/>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74" w:name="_Toc29696"/>
      <w:r/>
      <w:bookmarkStart w:id="375" w:name="_Toc1035"/>
      <w:r/>
      <w:bookmarkStart w:id="376" w:name="_Toc20552"/>
      <w:r/>
      <w:bookmarkStart w:id="377" w:name="_Toc2151"/>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4"/>
      <w:r/>
      <w:bookmarkEnd w:id="375"/>
      <w:r/>
      <w:bookmarkEnd w:id="376"/>
      <w:r/>
      <w:bookmarkEnd w:id="377"/>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78" w:name="_Toc24573"/>
      <w:r>
        <w:rPr>
          <w:rFonts w:hint="eastAsia" w:ascii="宋体" w:hAnsi="宋体" w:eastAsia="宋体" w:cs="Times New Roman"/>
          <w:b/>
          <w:bCs/>
          <w:color w:val="auto"/>
          <w:sz w:val="24"/>
          <w:szCs w:val="24"/>
          <w:highlight w:val="none"/>
          <w:lang w:eastAsia="zh-CN"/>
        </w:rPr>
        <w:t xml:space="preserve">1.小微型企业价格扣除</w:t>
      </w:r>
      <w:bookmarkEnd w:id="378"/>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（2）供应商需按照采购文件的要求提供相应的《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79" w:name="_Toc13263"/>
      <w:r>
        <w:rPr>
          <w:rFonts w:hint="eastAsia" w:ascii="宋体" w:hAnsi="宋体" w:eastAsia="宋体" w:cs="Times New Roman"/>
          <w:b/>
          <w:bCs/>
          <w:color w:val="auto"/>
          <w:sz w:val="24"/>
          <w:szCs w:val="24"/>
          <w:highlight w:val="none"/>
          <w:lang w:eastAsia="zh-CN"/>
        </w:rPr>
        <w:t xml:space="preserve">2.残疾人福利单位价格扣除</w:t>
      </w:r>
      <w:bookmarkEnd w:id="379"/>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（2）残疾人福利单位需按照采购文件的要求提供《残疾人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0" w:name="_Toc20871"/>
      <w:r>
        <w:rPr>
          <w:rFonts w:hint="eastAsia" w:ascii="宋体" w:hAnsi="宋体" w:eastAsia="宋体" w:cs="Times New Roman"/>
          <w:b/>
          <w:bCs/>
          <w:color w:val="auto"/>
          <w:sz w:val="24"/>
          <w:szCs w:val="24"/>
          <w:highlight w:val="none"/>
          <w:lang w:eastAsia="zh-CN"/>
        </w:rPr>
        <w:t xml:space="preserve">3.监狱和戒毒企业价格扣除</w:t>
      </w:r>
      <w:bookmarkEnd w:id="380"/>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2</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6.联合体各方均为小型、微型企业（残疾人福利单位、监狱企业）的，联合体享受10%价格扣除，用扣除后的价格参与评审。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8.联合体各方均为小型、微型企业（残疾人福利单位、监狱企业）的，联合体享受上述同类价格扣除，用扣除后的价格参与评审。</w:t>
      </w:r>
      <w:r/>
    </w:p>
    <w:p>
      <w:pPr>
        <w:ind w:firstLine="361"/>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9.专门面向中小企业采购的项目或者采购包，不再执行价格评审优惠的扶持政策。</w:t>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81" w:name="_Toc8469"/>
      <w:r/>
      <w:bookmarkStart w:id="382" w:name="_Toc29185"/>
      <w:r/>
      <w:bookmarkStart w:id="383" w:name="_Toc12996"/>
      <w:r/>
      <w:bookmarkStart w:id="384" w:name="_Toc3701"/>
      <w:r>
        <w:rPr>
          <w:rFonts w:hint="eastAsia" w:ascii="宋体" w:hAnsi="宋体" w:eastAsia="宋体" w:cs="宋体"/>
          <w:b/>
          <w:bCs/>
          <w:color w:val="auto"/>
          <w:sz w:val="24"/>
          <w:szCs w:val="24"/>
          <w:highlight w:val="none"/>
          <w:lang w:val="en-US" w:eastAsia="zh-CN"/>
        </w:rPr>
        <w:t xml:space="preserve">三、评审标准</w:t>
      </w:r>
      <w:bookmarkEnd w:id="381"/>
      <w:r/>
      <w:bookmarkEnd w:id="382"/>
      <w:r/>
      <w:bookmarkEnd w:id="383"/>
      <w:r/>
      <w:bookmarkEnd w:id="384"/>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85" w:name="_Toc10391"/>
      <w:r/>
      <w:bookmarkStart w:id="386" w:name="_Toc14998"/>
      <w:r/>
      <w:bookmarkStart w:id="387" w:name="_Toc5152"/>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5"/>
      <w:r/>
      <w:bookmarkEnd w:id="386"/>
      <w:r/>
      <w:bookmarkEnd w:id="387"/>
      <w:r/>
      <w:r/>
    </w:p>
    <w:tbl>
      <w:tblPr>
        <w:tblStyle w:val="1078"/>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1.2具有良好的商业信誉和健全的财务会计制度（提供2023或2024年度经审计的财务报告，或企业编制的会计报表，或响应截止时间前6个月内银行出具的资信证明）（复印件）（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vMerge w:val="restart"/>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1、本投标产品属于医疗器械注册范畴，根据注册的类别，如供应商为经营单位的须具有《医疗器械经营许可证》或者《医疗器械经营备案凭证》；如供应商为生产企业的须提供《医疗器械生产许可证》（复印件）；</w:t>
            </w:r>
            <w:r/>
          </w:p>
        </w:tc>
      </w:tr>
      <w:tr>
        <w:trPr>
          <w:trHeight w:val="155"/>
          <w:tblHeader/>
        </w:trPr>
        <w:tc>
          <w:tcPr>
            <w:tcW w:w="2023" w:type="dxa"/>
            <w:vAlign w:val="center"/>
            <w:vMerge w:val="continue"/>
            <w:textDirection w:val="lrTb"/>
            <w:noWrap w:val="false"/>
          </w:tcPr>
          <w:p>
            <w:pPr>
              <w:pageBreakBefore w:val="0"/>
              <w:spacing w:line="240" w:lineRule="auto"/>
              <w:rPr>
                <w:color w:val="auto"/>
                <w:highlight w:val="none"/>
              </w:rPr>
            </w:pPr>
            <w:r>
              <w:rPr>
                <w:color w:val="auto"/>
                <w:highlight w:val="none"/>
              </w:rPr>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2、投标产品须具有《医疗器械注册证》或者《医疗器械备案凭证》（复印件）；</w:t>
            </w:r>
            <w:r/>
          </w:p>
        </w:tc>
      </w:tr>
      <w:tr>
        <w:trPr>
          <w:trHeight w:val="155"/>
          <w:tblHeader/>
        </w:trPr>
        <w:tc>
          <w:tcPr>
            <w:tcW w:w="2023" w:type="dxa"/>
            <w:vAlign w:val="center"/>
            <w:vMerge w:val="continue"/>
            <w:textDirection w:val="lrTb"/>
            <w:noWrap w:val="false"/>
          </w:tcPr>
          <w:p>
            <w:pPr>
              <w:pageBreakBefore w:val="0"/>
              <w:spacing w:line="240" w:lineRule="auto"/>
              <w:rPr>
                <w:color w:val="auto"/>
                <w:highlight w:val="none"/>
              </w:rPr>
            </w:pPr>
            <w:r>
              <w:rPr>
                <w:color w:val="auto"/>
                <w:highlight w:val="none"/>
              </w:rPr>
            </w:r>
            <w:r/>
          </w:p>
        </w:tc>
        <w:tc>
          <w:tcPr>
            <w:tcW w:w="6759" w:type="dxa"/>
            <w:vAlign w:val="center"/>
            <w:textDirection w:val="lrTb"/>
            <w:noWrap w:val="false"/>
          </w:tcPr>
          <w:p>
            <w:pPr>
              <w:numPr>
                <w:ilvl w:val="0"/>
                <w:numId w:val="0"/>
              </w:numPr>
              <w:pageBreakBefore w:val="0"/>
              <w:spacing w:line="240" w:lineRule="auto"/>
              <w:rPr>
                <w:rFonts w:hint="eastAsia"/>
                <w:color w:val="auto"/>
                <w:sz w:val="24"/>
                <w:szCs w:val="24"/>
                <w:highlight w:val="none"/>
              </w:rPr>
            </w:pPr>
            <w:r>
              <w:rPr>
                <w:rFonts w:hint="eastAsia" w:ascii="Times New Roman" w:hAnsi="Times New Roman" w:cs="Times New Roman"/>
                <w:color w:val="auto"/>
                <w:sz w:val="24"/>
                <w:szCs w:val="24"/>
                <w:highlight w:val="none"/>
                <w:lang w:val="en-US" w:eastAsia="zh-CN"/>
              </w:rPr>
              <w:t xml:space="preserve">3、本项目接受进口产品投标，若投标产品为进口产品，提供产品制造商或其驻中国办事机构或制造商授权的中国境内代理商针对本项目的专项授权书。</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88" w:name="_Toc4560"/>
      <w:r/>
      <w:bookmarkStart w:id="389" w:name="_Toc30364"/>
      <w:r/>
      <w:bookmarkStart w:id="390" w:name="_Toc17599"/>
      <w:r>
        <w:rPr>
          <w:rFonts w:hint="eastAsia" w:ascii="宋体" w:hAnsi="宋体" w:eastAsia="宋体" w:cs="Times New Roman"/>
          <w:b/>
          <w:bCs/>
          <w:color w:val="auto"/>
          <w:sz w:val="24"/>
          <w:szCs w:val="24"/>
          <w:highlight w:val="none"/>
          <w:lang w:val="en-US" w:eastAsia="zh-CN"/>
        </w:rPr>
        <w:t xml:space="preserve">2.符合性审查标准</w:t>
      </w:r>
      <w:bookmarkEnd w:id="388"/>
      <w:r/>
      <w:bookmarkEnd w:id="389"/>
      <w:r/>
      <w:bookmarkEnd w:id="390"/>
      <w:r/>
      <w:r/>
    </w:p>
    <w:tbl>
      <w:tblPr>
        <w:tblStyle w:val="1078"/>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和竞争性磋商文件规定的其他无效情形。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商务要求不</w:t>
            </w:r>
            <w:r>
              <w:rPr>
                <w:rFonts w:hint="eastAsia" w:ascii="宋体" w:hAnsi="宋体" w:cs="宋体"/>
                <w:color w:val="auto"/>
                <w:sz w:val="24"/>
                <w:szCs w:val="24"/>
                <w:highlight w:val="none"/>
                <w:lang w:val="en-US" w:eastAsia="zh-CN"/>
              </w:rPr>
              <w:t xml:space="preserve">接受</w:t>
            </w:r>
            <w:r>
              <w:rPr>
                <w:rFonts w:hint="eastAsia" w:ascii="宋体" w:hAnsi="宋体" w:eastAsia="宋体" w:cs="宋体"/>
                <w:color w:val="auto"/>
                <w:sz w:val="24"/>
                <w:szCs w:val="24"/>
                <w:highlight w:val="none"/>
                <w:lang w:val="en-US" w:eastAsia="zh-CN"/>
              </w:rPr>
              <w:t xml:space="preserve">任何负偏离，须提供《商务响应承诺函》，否则</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91" w:name="_Toc24715"/>
      <w:r/>
      <w:bookmarkStart w:id="392" w:name="_Toc27771"/>
      <w:r/>
      <w:bookmarkStart w:id="393" w:name="_Toc29459"/>
      <w:r>
        <w:rPr>
          <w:rFonts w:hint="eastAsia" w:ascii="宋体" w:hAnsi="宋体" w:eastAsia="宋体" w:cs="Times New Roman"/>
          <w:b/>
          <w:bCs/>
          <w:color w:val="auto"/>
          <w:sz w:val="24"/>
          <w:szCs w:val="24"/>
          <w:highlight w:val="none"/>
          <w:lang w:val="en-US" w:eastAsia="zh-CN"/>
        </w:rPr>
        <w:t xml:space="preserve">3.综合评分标准</w:t>
      </w:r>
      <w:bookmarkEnd w:id="391"/>
      <w:r/>
      <w:bookmarkEnd w:id="392"/>
      <w:r/>
      <w:bookmarkEnd w:id="393"/>
      <w:r/>
      <w:r/>
    </w:p>
    <w:tbl>
      <w:tblPr>
        <w:tblStyle w:val="1094"/>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价格分采用低价优先法计算，即满足磋商文件要求且投标价格最低的投标报价为评标基准价，其价格分为满分，其他供应商的价格分按照下列公式计算：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价格分=（评标基准价/投标报价）×价格权值×100（小数点保留两位）</w:t>
            </w:r>
            <w:r/>
          </w:p>
          <w:p>
            <w:pPr>
              <w:pStyle w:val="1097"/>
              <w:ind w:left="0" w:firstLine="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1.完全响应磋商文件第三部分采购需求第五条技术要求，得4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2.（如有）加注“★”符号的关键条款不得偏离，否则响应无效；加注“▲”符号的重要指标，每负偏离一项扣3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3.一般指标每负偏离一项扣0.5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auto"/>
                <w:spacing w:val="3"/>
                <w:sz w:val="24"/>
                <w:szCs w:val="24"/>
                <w:highlight w:val="none"/>
                <w:u w:val="single"/>
              </w:rPr>
              <w:t xml:space="preserve">所有技术指标都应提供有效的佐证材料（如带有广告批准文号的设备彩页、铭牌、技术白皮书、产品使用说明书、注册证附表或具有CMA标识的检测报告等）。其中标注“★”或“▲”的技术指标必须提供有效的佐证材料，并在证明材料中显著标明，否则</w:t>
            </w:r>
            <w:r>
              <w:rPr>
                <w:rFonts w:hint="eastAsia" w:ascii="宋体" w:hAnsi="宋体" w:eastAsia="宋体" w:cs="宋体"/>
                <w:b/>
                <w:bCs/>
                <w:color w:val="auto"/>
                <w:spacing w:val="3"/>
                <w:sz w:val="24"/>
                <w:szCs w:val="24"/>
                <w:highlight w:val="none"/>
                <w:u w:val="single"/>
                <w:lang w:val="en-US" w:eastAsia="zh-CN"/>
              </w:rPr>
              <w:t xml:space="preserve">磋商小组</w:t>
            </w:r>
            <w:r>
              <w:rPr>
                <w:rFonts w:hint="eastAsia" w:ascii="宋体" w:hAnsi="宋体" w:eastAsia="宋体" w:cs="宋体"/>
                <w:b/>
                <w:bCs/>
                <w:color w:val="auto"/>
                <w:spacing w:val="3"/>
                <w:sz w:val="24"/>
                <w:szCs w:val="24"/>
                <w:highlight w:val="none"/>
                <w:u w:val="single"/>
              </w:rPr>
              <w:t xml:space="preserve">有权做负偏离处理。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业绩一览表》进行评审：提供近三年供应商或该产品制造商同类产品（多品目的特指核心产品）的销售合同，以合同签订时间为准，合同内容须体现与本项目相关内容，每提供一个得2分，最高得4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注：提供合同复印件并加盖公章，须在《业绩一览表》里注明联系人、联系方式等信息，便于磋商小组需要时予以验证，否则视为未提供。</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质保期</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在满足磋商文件质保期要求的基础上，每增加1年质保期得1分，最多得2分。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供应商承诺（4分）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供应商出具加盖CA电子签章的《承诺函》得4分，格式自拟，未提供不得分，内容包括但不限于：</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1.承诺所投型号非生产厂家临近停产或已停产的产品；</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承诺每项投标响应的参数都可作为验收的依据，参数验收时如果不能符合标书要求，供应商将采购人已付合同价款全部退回；并承诺按投标价的10%作为违约金向采购人进行赔偿，在采购人退还仪器设备后，合同自动终止。</w:t>
            </w:r>
            <w:r/>
          </w:p>
        </w:tc>
      </w:tr>
      <w:tr>
        <w:trPr>
          <w:jc w:val="center"/>
          <w:trHeight w:val="201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供货方案（4分）</w:t>
            </w:r>
            <w:r/>
          </w:p>
        </w:tc>
        <w:tc>
          <w:tcPr>
            <w:tcW w:w="7521" w:type="dxa"/>
            <w:vAlign w:val="center"/>
            <w:textDirection w:val="lrTb"/>
            <w:noWrap w:val="false"/>
          </w:tcPr>
          <w:p>
            <w:pPr>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1.磋商小组</w:t>
            </w:r>
            <w:r>
              <w:rPr>
                <w:rFonts w:hint="eastAsia" w:ascii="宋体" w:hAnsi="宋体" w:eastAsia="宋体" w:cs="宋体"/>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eastAsia="宋体" w:cs="宋体"/>
                <w:b/>
                <w:bCs/>
                <w:color w:val="auto"/>
                <w:sz w:val="24"/>
                <w:szCs w:val="24"/>
                <w:highlight w:val="none"/>
                <w:u w:val="single"/>
                <w:lang w:val="en-US" w:eastAsia="zh-CN"/>
              </w:rPr>
              <w:t xml:space="preserve">供货</w:t>
            </w:r>
            <w:r>
              <w:rPr>
                <w:rFonts w:hint="eastAsia" w:ascii="宋体" w:hAnsi="宋体" w:eastAsia="宋体" w:cs="宋体"/>
                <w:b/>
                <w:bCs/>
                <w:color w:val="auto"/>
                <w:sz w:val="24"/>
                <w:szCs w:val="24"/>
                <w:highlight w:val="none"/>
                <w:u w:val="single"/>
              </w:rPr>
              <w:t xml:space="preserve">方案</w:t>
            </w:r>
            <w:r>
              <w:rPr>
                <w:rFonts w:hint="eastAsia" w:ascii="宋体" w:hAnsi="宋体" w:eastAsia="宋体" w:cs="宋体"/>
                <w:color w:val="auto"/>
                <w:sz w:val="24"/>
                <w:szCs w:val="24"/>
                <w:highlight w:val="none"/>
              </w:rPr>
              <w:t xml:space="preserve">的完整性及可实施性进行独立评审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
                <w:bCs w:val="0"/>
                <w:i w:val="0"/>
                <w:iCs w:val="0"/>
                <w:color w:val="auto"/>
                <w:sz w:val="24"/>
                <w:szCs w:val="24"/>
                <w:highlight w:val="none"/>
                <w:u w:val="single"/>
                <w:lang w:val="en-US" w:eastAsia="zh-CN"/>
              </w:rPr>
              <w:t xml:space="preserve">①</w:t>
            </w:r>
            <w:r>
              <w:rPr>
                <w:rFonts w:hint="eastAsia" w:ascii="宋体" w:hAnsi="宋体" w:eastAsia="宋体" w:cs="宋体"/>
                <w:b/>
                <w:bCs/>
                <w:i w:val="0"/>
                <w:iCs w:val="0"/>
                <w:color w:val="auto"/>
                <w:sz w:val="24"/>
                <w:szCs w:val="24"/>
                <w:highlight w:val="none"/>
                <w:u w:val="single"/>
              </w:rPr>
              <w:t xml:space="preserve">供货渠道</w:t>
            </w:r>
            <w:r>
              <w:rPr>
                <w:rFonts w:hint="eastAsia" w:ascii="宋体" w:hAnsi="宋体" w:eastAsia="宋体" w:cs="宋体"/>
                <w:b/>
                <w:bCs/>
                <w:i w:val="0"/>
                <w:iCs w:val="0"/>
                <w:color w:val="auto"/>
                <w:sz w:val="24"/>
                <w:szCs w:val="24"/>
                <w:highlight w:val="none"/>
                <w:u w:val="single"/>
                <w:lang w:val="en-US" w:eastAsia="zh-CN"/>
              </w:rPr>
              <w:t xml:space="preserve">②</w:t>
            </w:r>
            <w:r>
              <w:rPr>
                <w:rFonts w:hint="eastAsia" w:ascii="宋体" w:hAnsi="宋体" w:eastAsia="宋体" w:cs="宋体"/>
                <w:b/>
                <w:bCs/>
                <w:i w:val="0"/>
                <w:iCs w:val="0"/>
                <w:color w:val="auto"/>
                <w:sz w:val="24"/>
                <w:szCs w:val="24"/>
                <w:highlight w:val="none"/>
                <w:u w:val="single"/>
              </w:rPr>
              <w:t xml:space="preserve">供货时间</w:t>
            </w:r>
            <w:r>
              <w:rPr>
                <w:rFonts w:hint="eastAsia" w:ascii="宋体" w:hAnsi="宋体" w:eastAsia="宋体" w:cs="宋体"/>
                <w:b/>
                <w:bCs/>
                <w:i w:val="0"/>
                <w:iCs w:val="0"/>
                <w:color w:val="auto"/>
                <w:sz w:val="24"/>
                <w:szCs w:val="24"/>
                <w:highlight w:val="none"/>
                <w:u w:val="single"/>
                <w:lang w:val="en-US" w:eastAsia="zh-CN"/>
              </w:rPr>
              <w:t xml:space="preserve">③</w:t>
            </w:r>
            <w:r>
              <w:rPr>
                <w:rFonts w:hint="eastAsia" w:ascii="宋体" w:hAnsi="宋体" w:eastAsia="宋体" w:cs="宋体"/>
                <w:b/>
                <w:bCs/>
                <w:i w:val="0"/>
                <w:iCs w:val="0"/>
                <w:color w:val="auto"/>
                <w:sz w:val="24"/>
                <w:szCs w:val="24"/>
                <w:highlight w:val="none"/>
                <w:u w:val="single"/>
              </w:rPr>
              <w:t xml:space="preserve">运输方案</w:t>
            </w:r>
            <w:r>
              <w:rPr>
                <w:rFonts w:hint="eastAsia" w:ascii="宋体" w:hAnsi="宋体" w:eastAsia="宋体" w:cs="宋体"/>
                <w:b/>
                <w:bCs/>
                <w:i w:val="0"/>
                <w:iCs w:val="0"/>
                <w:color w:val="auto"/>
                <w:sz w:val="24"/>
                <w:szCs w:val="24"/>
                <w:highlight w:val="none"/>
                <w:u w:val="single"/>
                <w:lang w:val="en-US" w:eastAsia="zh-CN"/>
              </w:rPr>
              <w:t xml:space="preserve">④质量保证等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color w:val="auto"/>
                <w:sz w:val="24"/>
                <w:szCs w:val="24"/>
                <w:highlight w:val="none"/>
              </w:rPr>
              <w:t xml:space="preserve">完全响应且符合采购人实际需求的得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分，每有一处方案内容存在缺陷、不足或提供无关联性内容的扣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分，扣完为止。未提供服务方案的不得分。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u w:val="singl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1374"/>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2.磋商小组</w:t>
            </w: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供应商针对本项目提出的</w:t>
            </w:r>
            <w:r>
              <w:rPr>
                <w:rFonts w:hint="eastAsia" w:ascii="宋体" w:hAnsi="宋体" w:eastAsia="宋体" w:cs="宋体"/>
                <w:b/>
                <w:bCs w:val="0"/>
                <w:color w:val="auto"/>
                <w:sz w:val="24"/>
                <w:szCs w:val="24"/>
                <w:highlight w:val="none"/>
                <w:u w:val="single"/>
                <w:lang w:val="en-US" w:eastAsia="zh-CN"/>
              </w:rPr>
              <w:t xml:space="preserve">售后</w:t>
            </w:r>
            <w:r>
              <w:rPr>
                <w:rFonts w:hint="eastAsia" w:ascii="宋体" w:hAnsi="宋体" w:eastAsia="宋体" w:cs="宋体"/>
                <w:b/>
                <w:bCs w:val="0"/>
                <w:color w:val="auto"/>
                <w:sz w:val="24"/>
                <w:szCs w:val="24"/>
                <w:highlight w:val="none"/>
                <w:u w:val="single"/>
              </w:rPr>
              <w:t xml:space="preserve">服务方案</w:t>
            </w:r>
            <w:r>
              <w:rPr>
                <w:rFonts w:hint="eastAsia" w:ascii="宋体" w:hAnsi="宋体" w:eastAsia="宋体" w:cs="宋体"/>
                <w:bCs/>
                <w:color w:val="auto"/>
                <w:sz w:val="24"/>
                <w:szCs w:val="24"/>
                <w:highlight w:val="none"/>
              </w:rPr>
              <w:t xml:space="preserve">的完整性及可实施性进行独立评审，方案内容包括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i w:val="0"/>
                <w:iCs w:val="0"/>
                <w:color w:val="auto"/>
                <w:sz w:val="24"/>
                <w:szCs w:val="24"/>
                <w:highlight w:val="none"/>
                <w:u w:val="single"/>
                <w:lang w:val="en-US" w:eastAsia="zh-CN"/>
              </w:rPr>
              <w:t xml:space="preserve">①安装</w:t>
            </w:r>
            <w:r>
              <w:rPr>
                <w:rFonts w:hint="eastAsia" w:ascii="宋体" w:hAnsi="宋体" w:eastAsia="宋体" w:cs="宋体"/>
                <w:b/>
                <w:bCs w:val="0"/>
                <w:i w:val="0"/>
                <w:iCs w:val="0"/>
                <w:color w:val="auto"/>
                <w:sz w:val="24"/>
                <w:szCs w:val="24"/>
                <w:highlight w:val="none"/>
                <w:u w:val="single"/>
              </w:rPr>
              <w:t xml:space="preserve">方案</w:t>
            </w:r>
            <w:r>
              <w:rPr>
                <w:rFonts w:hint="eastAsia" w:ascii="宋体" w:hAnsi="宋体" w:eastAsia="宋体" w:cs="宋体"/>
                <w:b/>
                <w:bCs w:val="0"/>
                <w:i w:val="0"/>
                <w:iCs w:val="0"/>
                <w:color w:val="auto"/>
                <w:sz w:val="24"/>
                <w:szCs w:val="24"/>
                <w:highlight w:val="none"/>
                <w:u w:val="single"/>
                <w:lang w:val="en-US" w:eastAsia="zh-CN"/>
              </w:rPr>
              <w:t xml:space="preserve">②</w:t>
            </w:r>
            <w:r>
              <w:rPr>
                <w:rFonts w:hint="eastAsia" w:ascii="宋体" w:hAnsi="宋体" w:eastAsia="宋体" w:cs="宋体"/>
                <w:b/>
                <w:bCs w:val="0"/>
                <w:i w:val="0"/>
                <w:iCs w:val="0"/>
                <w:color w:val="auto"/>
                <w:sz w:val="24"/>
                <w:szCs w:val="24"/>
                <w:highlight w:val="none"/>
                <w:u w:val="single"/>
              </w:rPr>
              <w:t xml:space="preserve">维保</w:t>
            </w:r>
            <w:r>
              <w:rPr>
                <w:rFonts w:hint="eastAsia" w:ascii="宋体" w:hAnsi="宋体" w:eastAsia="宋体" w:cs="宋体"/>
                <w:b/>
                <w:bCs w:val="0"/>
                <w:i w:val="0"/>
                <w:iCs w:val="0"/>
                <w:color w:val="auto"/>
                <w:sz w:val="24"/>
                <w:szCs w:val="24"/>
                <w:highlight w:val="none"/>
                <w:u w:val="single"/>
                <w:lang w:val="en-US" w:eastAsia="zh-CN"/>
              </w:rPr>
              <w:t xml:space="preserve">③</w:t>
            </w:r>
            <w:r>
              <w:rPr>
                <w:rFonts w:hint="eastAsia" w:ascii="宋体" w:hAnsi="宋体" w:eastAsia="宋体" w:cs="宋体"/>
                <w:b/>
                <w:bCs w:val="0"/>
                <w:i w:val="0"/>
                <w:iCs w:val="0"/>
                <w:color w:val="auto"/>
                <w:sz w:val="24"/>
                <w:szCs w:val="24"/>
                <w:highlight w:val="none"/>
                <w:u w:val="single"/>
              </w:rPr>
              <w:t xml:space="preserve">软件升级</w:t>
            </w:r>
            <w:r>
              <w:rPr>
                <w:rFonts w:hint="eastAsia" w:ascii="宋体" w:hAnsi="宋体" w:eastAsia="宋体" w:cs="宋体"/>
                <w:b/>
                <w:bCs/>
                <w:color w:val="auto"/>
                <w:sz w:val="24"/>
                <w:szCs w:val="24"/>
                <w:highlight w:val="none"/>
                <w:u w:val="single"/>
                <w:lang w:val="en-US" w:eastAsia="zh-CN"/>
              </w:rPr>
              <w:t xml:space="preserve">④</w:t>
            </w:r>
            <w:r>
              <w:rPr>
                <w:rFonts w:hint="eastAsia" w:ascii="宋体" w:hAnsi="宋体" w:eastAsia="宋体" w:cs="宋体"/>
                <w:b/>
                <w:bCs w:val="0"/>
                <w:i w:val="0"/>
                <w:iCs w:val="0"/>
                <w:color w:val="auto"/>
                <w:sz w:val="24"/>
                <w:szCs w:val="24"/>
                <w:highlight w:val="none"/>
                <w:u w:val="single"/>
              </w:rPr>
              <w:t xml:space="preserve">系统扩展</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按顺序逐条</w:t>
            </w:r>
            <w:r>
              <w:rPr>
                <w:rFonts w:hint="eastAsia" w:ascii="宋体" w:hAnsi="宋体" w:eastAsia="宋体" w:cs="宋体"/>
                <w:bCs/>
                <w:color w:val="auto"/>
                <w:sz w:val="24"/>
                <w:szCs w:val="24"/>
                <w:highlight w:val="none"/>
              </w:rPr>
              <w:t xml:space="preserve">完全响应且符合采购人实际需求的得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分，每缺少一项内容扣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分，每有一处方案内容存在缺陷、不足或提供无关联性内容的扣</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分，扣完为止。未提供服务方案的不得分。</w:t>
            </w:r>
            <w:r>
              <w:rPr>
                <w:rFonts w:hint="eastAsia" w:ascii="宋体" w:hAnsi="宋体" w:eastAsia="宋体" w:cs="宋体"/>
                <w:b/>
                <w:bCs/>
                <w:color w:val="auto"/>
                <w:sz w:val="24"/>
                <w:szCs w:val="24"/>
                <w:highlight w:val="none"/>
                <w:lang w:val="en-US" w:eastAsia="zh-CN"/>
              </w:rPr>
              <w:t xml:space="preserve">（缺陷或不满足同上描述）</w:t>
            </w:r>
            <w:r/>
          </w:p>
        </w:tc>
      </w:tr>
      <w:tr>
        <w:trPr>
          <w:jc w:val="center"/>
          <w:trHeight w:val="142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培训方案（4分）</w:t>
            </w:r>
            <w:r/>
          </w:p>
        </w:tc>
        <w:tc>
          <w:tcPr>
            <w:tcW w:w="7521"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3.磋商小组根据供应商针对本项目提出的</w:t>
            </w:r>
            <w:r>
              <w:rPr>
                <w:rFonts w:hint="eastAsia" w:ascii="宋体" w:hAnsi="宋体" w:eastAsia="宋体" w:cs="宋体"/>
                <w:b/>
                <w:bCs w:val="0"/>
                <w:color w:val="auto"/>
                <w:sz w:val="24"/>
                <w:szCs w:val="24"/>
                <w:highlight w:val="none"/>
                <w:u w:val="single"/>
                <w:lang w:val="en-US" w:eastAsia="zh-CN"/>
              </w:rPr>
              <w:t xml:space="preserve">培训方案</w:t>
            </w:r>
            <w:r>
              <w:rPr>
                <w:rFonts w:hint="eastAsia" w:ascii="宋体" w:hAnsi="宋体" w:eastAsia="宋体" w:cs="宋体"/>
                <w:bCs/>
                <w:color w:val="auto"/>
                <w:sz w:val="24"/>
                <w:szCs w:val="24"/>
                <w:highlight w:val="none"/>
                <w:lang w:val="en-US" w:eastAsia="zh-CN"/>
              </w:rPr>
              <w:t xml:space="preserve">的完整性及可实施性进行独立评审，方案内容应包括但不限于：</w:t>
            </w:r>
            <w:r>
              <w:rPr>
                <w:rFonts w:hint="eastAsia" w:ascii="宋体" w:hAnsi="宋体" w:eastAsia="宋体" w:cs="宋体"/>
                <w:b/>
                <w:bCs w:val="0"/>
                <w:color w:val="auto"/>
                <w:sz w:val="24"/>
                <w:szCs w:val="24"/>
                <w:highlight w:val="none"/>
                <w:u w:val="single"/>
                <w:lang w:val="en-US" w:eastAsia="zh-CN"/>
              </w:rPr>
              <w:t xml:space="preserve">①拟培训内容②培训人员安排③培训计划实施④培训效果考核等</w:t>
            </w:r>
            <w:r>
              <w:rPr>
                <w:rFonts w:hint="eastAsia" w:ascii="宋体" w:hAnsi="宋体" w:eastAsia="宋体" w:cs="宋体"/>
                <w:bCs/>
                <w:color w:val="auto"/>
                <w:sz w:val="24"/>
                <w:szCs w:val="24"/>
                <w:highlight w:val="none"/>
                <w:lang w:val="en-US" w:eastAsia="zh-CN"/>
              </w:rPr>
              <w:t xml:space="preserve">。按顺序逐条完全响应且符合采购人实际需求的得4分，每缺少一项内容扣1分，每有一处方案内容存在缺陷、不足或提供无关联性内容的扣0.5分，扣完为止。未提供培训方案的不得分。（缺陷或不满足同上描述）</w:t>
            </w:r>
            <w:r/>
          </w:p>
        </w:tc>
      </w:tr>
    </w:tbl>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采购结束后，采购人将对成交单位上述响应文件中所提供的相关材料进行核实，如发现虚假或与事实不符的，将取消其中标资格。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94" w:name="_Toc29260"/>
      <w:r/>
      <w:bookmarkStart w:id="395" w:name="_Toc295"/>
      <w:r/>
      <w:bookmarkStart w:id="396" w:name="_Toc11420"/>
      <w:r/>
      <w:bookmarkStart w:id="397" w:name="_Toc7042"/>
      <w:r/>
      <w:bookmarkStart w:id="398" w:name="_Toc2952"/>
      <w:r>
        <w:rPr>
          <w:rFonts w:hint="eastAsia" w:ascii="黑体" w:hAnsi="Times New Roman" w:eastAsia="黑体"/>
          <w:bCs/>
          <w:color w:val="auto"/>
          <w:sz w:val="44"/>
          <w:szCs w:val="28"/>
          <w:highlight w:val="none"/>
        </w:rPr>
        <w:br w:type="page" w:clear="all"/>
      </w:r>
      <w:r/>
    </w:p>
    <w:p>
      <w:pPr>
        <w:jc w:val="center"/>
        <w:keepLines w:val="0"/>
        <w:keepNext/>
        <w:pageBreakBefore w:val="0"/>
        <w:spacing w:line="240" w:lineRule="auto"/>
        <w:rPr>
          <w:rFonts w:hint="eastAsia" w:ascii="黑体" w:hAnsi="Times New Roman" w:eastAsia="黑体"/>
          <w:bCs/>
          <w:color w:val="auto"/>
          <w:sz w:val="44"/>
          <w:szCs w:val="28"/>
          <w:highlight w:val="none"/>
        </w:rPr>
        <w:outlineLvl w:val="9"/>
      </w:pPr>
      <w:r>
        <w:rPr>
          <w:rFonts w:hint="eastAsia" w:ascii="黑体" w:hAnsi="Times New Roman" w:eastAsia="黑体"/>
          <w:bCs/>
          <w:color w:val="auto"/>
          <w:sz w:val="44"/>
          <w:szCs w:val="28"/>
          <w:highlight w:val="none"/>
        </w:rPr>
      </w: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bookmarkStart w:id="399" w:name="_Toc9646"/>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w:t>
      </w:r>
      <w:bookmarkEnd w:id="303"/>
      <w:r/>
      <w:bookmarkEnd w:id="304"/>
      <w:r/>
      <w:bookmarkEnd w:id="311"/>
      <w:r>
        <w:rPr>
          <w:rFonts w:hint="eastAsia" w:ascii="黑体" w:hAnsi="Times New Roman" w:eastAsia="黑体"/>
          <w:bCs/>
          <w:color w:val="auto"/>
          <w:sz w:val="44"/>
          <w:szCs w:val="28"/>
          <w:highlight w:val="none"/>
        </w:rPr>
        <w:t xml:space="preserve">响应文件格式</w:t>
      </w:r>
      <w:bookmarkEnd w:id="394"/>
      <w:r/>
      <w:bookmarkEnd w:id="395"/>
      <w:r/>
      <w:bookmarkEnd w:id="396"/>
      <w:r/>
      <w:bookmarkEnd w:id="397"/>
      <w:r/>
      <w:bookmarkEnd w:id="398"/>
      <w:r/>
      <w:bookmarkEnd w:id="399"/>
      <w:r/>
      <w:r/>
    </w:p>
    <w:p>
      <w:pPr>
        <w:jc w:val="center"/>
        <w:pageBreakBefore w:val="0"/>
        <w:spacing w:line="240" w:lineRule="auto"/>
        <w:rPr>
          <w:rFonts w:hint="eastAsia" w:ascii="宋体" w:hAnsi="宋体"/>
          <w:b/>
          <w:color w:val="auto"/>
          <w:sz w:val="72"/>
          <w:szCs w:val="21"/>
          <w:highlight w:val="none"/>
        </w:rPr>
      </w:pPr>
      <w:r/>
      <w:bookmarkStart w:id="400" w:name="_Hlt26955039"/>
      <w:r/>
      <w:bookmarkEnd w:id="400"/>
      <w:r/>
      <w:bookmarkStart w:id="401" w:name="_Hlt26671244"/>
      <w:r/>
      <w:bookmarkEnd w:id="401"/>
      <w:r/>
      <w:bookmarkStart w:id="402" w:name="_Toc49090576"/>
      <w:r/>
      <w:bookmarkStart w:id="403" w:name="_Toc120614282"/>
      <w:r/>
      <w:bookmarkStart w:id="404" w:name="_Toc26554094"/>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w:t>
      </w:r>
      <w:bookmarkStart w:id="405" w:name="_Toc3160"/>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bookmarkEnd w:id="405"/>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06" w:name="_Toc10597"/>
      <w:r>
        <w:rPr>
          <w:rFonts w:hint="eastAsia" w:ascii="Times New Roman" w:hAnsi="Times New Roman" w:eastAsia="宋体" w:cs="Times New Roman"/>
          <w:b/>
          <w:bCs/>
          <w:color w:val="auto"/>
          <w:sz w:val="28"/>
          <w:szCs w:val="28"/>
          <w:highlight w:val="none"/>
          <w:lang w:val="en-US" w:eastAsia="zh-CN" w:bidi="zh-CN"/>
        </w:rPr>
        <w:t xml:space="preserve">一、资格审查证明材料</w:t>
      </w:r>
      <w:bookmarkEnd w:id="406"/>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bookmarkStart w:id="407" w:name="_Toc19330"/>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numPr>
          <w:ilvl w:val="0"/>
          <w:numId w:val="0"/>
        </w:numPr>
        <w:ind w:firstLine="480"/>
        <w:keepLines w:val="0"/>
        <w:keepNext w:val="0"/>
        <w:pageBreakBefore w:val="0"/>
        <w:widowControl w:val="off"/>
        <w:rPr>
          <w:rFonts w:hint="default" w:ascii="宋体" w:hAnsi="宋体" w:cs="Times New Roman"/>
          <w:color w:val="auto"/>
          <w:sz w:val="24"/>
          <w:szCs w:val="24"/>
          <w:highlight w:val="none"/>
          <w:lang w:val="en-US" w:eastAsia="zh-CN"/>
        </w:rPr>
        <w:outlineLvl w:val="9"/>
      </w:pPr>
      <w:r>
        <w:rPr>
          <w:rFonts w:hint="eastAsia" w:ascii="宋体" w:hAnsi="宋体"/>
          <w:color w:val="auto"/>
          <w:sz w:val="24"/>
          <w:szCs w:val="24"/>
          <w:highlight w:val="none"/>
        </w:rPr>
        <w:t xml:space="preserve">2.特定资格要求：1）投标产品属于医疗器械注册范畴的，根据注册的类别，供应商为经营单位须具有《医疗器械经营许可证》或者《医疗器械经营备案凭证》，供应商为生产企业须提供《医疗器械生产许可证》；</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同时投标产品具有《医疗器械注册证》或者《医疗器械备案凭证》（复印件）；</w:t>
      </w:r>
      <w:r>
        <w:rPr>
          <w:rFonts w:hint="eastAsia" w:ascii="宋体" w:hAnsi="宋体"/>
          <w:color w:val="auto"/>
          <w:sz w:val="24"/>
          <w:szCs w:val="24"/>
          <w:highlight w:val="none"/>
          <w:lang w:val="en-US" w:eastAsia="zh-CN"/>
        </w:rPr>
        <w:t xml:space="preserve">3）</w:t>
      </w:r>
      <w:r>
        <w:rPr>
          <w:rFonts w:hint="eastAsia" w:ascii="宋体" w:hAnsi="宋体" w:cs="Times New Roman"/>
          <w:color w:val="auto"/>
          <w:sz w:val="24"/>
          <w:szCs w:val="24"/>
          <w:highlight w:val="none"/>
          <w:lang w:val="en-US" w:eastAsia="zh-CN"/>
        </w:rPr>
        <w:t xml:space="preserve">本项目接受进口产品投标，若投标产品为进口产品，提供产品制造商或其驻中国办事机构或制造商授权的中国境内代理商针对本项目的专项授权书。</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bookmarkEnd w:id="407"/>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响应承诺函（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p>
    <w:p>
      <w:pPr>
        <w:ind w:firstLine="480"/>
        <w:pageBreakBefore w:val="0"/>
        <w:spacing w:line="240" w:lineRule="auto"/>
        <w:rPr>
          <w:rFonts w:hint="eastAsia" w:ascii="黑体" w:hAnsi="黑体" w:eastAsia="黑体"/>
          <w:color w:val="auto"/>
          <w:sz w:val="32"/>
          <w:szCs w:val="32"/>
          <w:highlight w:val="none"/>
        </w:rPr>
        <w:outlineLvl w:val="9"/>
      </w:pPr>
      <w:r/>
      <w:bookmarkStart w:id="408" w:name="_Toc20861"/>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bookmarkEnd w:id="408"/>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bookmarkStart w:id="409" w:name="_Toc17048"/>
      <w:r>
        <w:rPr>
          <w:rFonts w:hint="eastAsia" w:ascii="Times New Roman" w:hAnsi="Times New Roman" w:eastAsia="宋体" w:cs="Times New Roman"/>
          <w:b/>
          <w:bCs/>
          <w:color w:val="auto"/>
          <w:sz w:val="28"/>
          <w:szCs w:val="28"/>
          <w:highlight w:val="none"/>
          <w:lang w:val="en-US" w:eastAsia="zh-CN" w:bidi="zh-CN"/>
        </w:rPr>
        <w:t xml:space="preserve">三、价格标</w:t>
      </w:r>
      <w:bookmarkEnd w:id="409"/>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bookmarkStart w:id="410" w:name="_Toc16398"/>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3.提供《中小企业声明函》等材料，详见附件10-12；</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 xml:space="preserve">四、其他资料（如有）</w:t>
      </w:r>
      <w:bookmarkEnd w:id="410"/>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bookmarkStart w:id="411" w:name="_Toc2841"/>
      <w:r/>
      <w:bookmarkStart w:id="412" w:name="_Toc1929"/>
      <w:r/>
      <w:bookmarkStart w:id="413" w:name="_Toc29088"/>
      <w:r>
        <w:rPr>
          <w:rFonts w:ascii="Times New Roman" w:hAnsi="Times New Roman" w:eastAsia="方正黑体_GBK"/>
          <w:color w:val="auto"/>
          <w:sz w:val="32"/>
          <w:szCs w:val="32"/>
          <w:highlight w:val="none"/>
          <w:lang w:val="zh-CN"/>
        </w:rPr>
        <w:t xml:space="preserve">附件1</w:t>
      </w:r>
      <w:bookmarkEnd w:id="411"/>
      <w:r/>
      <w:bookmarkEnd w:id="412"/>
      <w:r/>
      <w:bookmarkEnd w:id="413"/>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bookmarkStart w:id="414" w:name="_Toc26310"/>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bookmarkEnd w:id="414"/>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bookmarkStart w:id="415" w:name="_Toc26107"/>
      <w:r/>
      <w:bookmarkStart w:id="416" w:name="_Toc6700"/>
      <w:r/>
      <w:bookmarkStart w:id="417" w:name="_Toc20523"/>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bookmarkEnd w:id="415"/>
      <w:r/>
      <w:bookmarkEnd w:id="416"/>
      <w:r/>
      <w:bookmarkEnd w:id="41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/海安市人民医院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bookmarkStart w:id="418" w:name="_Toc8601"/>
      <w:r>
        <w:rPr>
          <w:rFonts w:hint="eastAsia" w:ascii="宋体" w:hAnsi="宋体" w:eastAsia="宋体" w:cs="宋体"/>
          <w:color w:val="auto"/>
          <w:sz w:val="24"/>
          <w:szCs w:val="21"/>
          <w:highlight w:val="none"/>
        </w:rPr>
        <w:t xml:space="preserve">2.我们完全理解贵方不一定将合同授予最低报价的供应商。</w:t>
      </w:r>
      <w:bookmarkEnd w:id="418"/>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并保证在磋商文件规定的时间完成项目，交付买方验收、使用。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bookmarkStart w:id="419" w:name="_Toc24444"/>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.我方与本磋商有关的正式通讯地址为：</w:t>
      </w:r>
      <w:bookmarkEnd w:id="419"/>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bookmarkStart w:id="420" w:name="_Toc6092"/>
      <w:r/>
      <w:bookmarkStart w:id="421" w:name="_Toc25718"/>
      <w:r/>
      <w:bookmarkStart w:id="422" w:name="_Toc15953"/>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bookmarkEnd w:id="420"/>
      <w:r/>
      <w:bookmarkEnd w:id="421"/>
      <w:r/>
      <w:bookmarkEnd w:id="422"/>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078"/>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bookmarkStart w:id="423" w:name="_Toc22595"/>
      <w:r/>
      <w:bookmarkStart w:id="424" w:name="_Toc25038"/>
      <w:r/>
      <w:bookmarkStart w:id="425" w:name="_Toc11711"/>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bookmarkEnd w:id="423"/>
      <w:r/>
      <w:bookmarkEnd w:id="424"/>
      <w:r/>
      <w:bookmarkEnd w:id="425"/>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bookmarkEnd w:id="402"/>
      <w:r/>
      <w:bookmarkEnd w:id="403"/>
      <w:r/>
      <w:bookmarkEnd w:id="404"/>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bookmarkStart w:id="426" w:name="_Toc120614284"/>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078"/>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078"/>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bookmarkStart w:id="427" w:name="_Toc12501"/>
      <w:r/>
      <w:bookmarkStart w:id="428" w:name="_Toc10055"/>
      <w:r/>
      <w:bookmarkStart w:id="429" w:name="_Toc15767"/>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bookmarkEnd w:id="427"/>
      <w:r/>
      <w:bookmarkEnd w:id="428"/>
      <w:r/>
      <w:bookmarkEnd w:id="429"/>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bl>
      <w:tblPr>
        <w:tblStyle w:val="1078"/>
        <w:tblpPr w:horzAnchor="page" w:tblpXSpec="center" w:vertAnchor="text" w:tblpY="201"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b w:val="0"/>
          <w:bCs w:val="0"/>
          <w:color w:val="auto"/>
          <w:sz w:val="22"/>
          <w:szCs w:val="22"/>
          <w:highlight w:val="none"/>
          <w:lang w:eastAsia="zh-CN"/>
        </w:rPr>
      </w:pPr>
      <w:r>
        <w:rPr>
          <w:rFonts w:hint="eastAsia" w:ascii="宋体" w:hAnsi="宋体"/>
          <w:color w:val="auto"/>
          <w:sz w:val="22"/>
          <w:szCs w:val="22"/>
          <w:highlight w:val="none"/>
          <w:lang w:val="en-US" w:eastAsia="zh-CN"/>
        </w:rPr>
        <w:t xml:space="preserve">注：</w:t>
      </w:r>
      <w:r>
        <w:rPr>
          <w:rFonts w:hint="eastAsia" w:ascii="宋体" w:hAnsi="宋体"/>
          <w:b/>
          <w:bCs/>
          <w:color w:val="auto"/>
          <w:sz w:val="22"/>
          <w:szCs w:val="22"/>
          <w:highlight w:val="none"/>
          <w:lang w:eastAsia="zh-CN"/>
        </w:rPr>
        <w:t xml:space="preserve">（</w:t>
      </w:r>
      <w:r>
        <w:rPr>
          <w:rFonts w:hint="eastAsia" w:ascii="宋体" w:hAnsi="宋体"/>
          <w:b/>
          <w:bCs/>
          <w:color w:val="auto"/>
          <w:sz w:val="22"/>
          <w:szCs w:val="22"/>
          <w:highlight w:val="none"/>
          <w:lang w:val="en-US" w:eastAsia="zh-CN"/>
        </w:rPr>
        <w:t xml:space="preserve">1</w:t>
      </w:r>
      <w:r>
        <w:rPr>
          <w:rFonts w:hint="eastAsia" w:ascii="宋体" w:hAnsi="宋体"/>
          <w:b/>
          <w:bCs/>
          <w:color w:val="auto"/>
          <w:sz w:val="22"/>
          <w:szCs w:val="22"/>
          <w:highlight w:val="none"/>
          <w:lang w:eastAsia="zh-CN"/>
        </w:rPr>
        <w:t xml:space="preserve">）</w:t>
      </w:r>
      <w:r>
        <w:rPr>
          <w:rFonts w:hint="eastAsia" w:ascii="宋体" w:hAnsi="宋体"/>
          <w:b/>
          <w:bCs/>
          <w:color w:val="auto"/>
          <w:sz w:val="22"/>
          <w:szCs w:val="22"/>
          <w:highlight w:val="none"/>
          <w:u w:val="single"/>
          <w:lang w:eastAsia="zh-CN"/>
        </w:rPr>
        <w:t xml:space="preserve">所有技术指标都应提供有效的佐证材料（如带有广告批准文号的设备彩页、铭牌、技术白皮书、产品使用说明书、注册证附表或具有CMA标识的检测报告等）。其中标注“★”或“▲”的技术指标必须提供有效的佐证材料，并在证明材料中显著标明，否则磋商小组有权做负偏离处理。</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contextualSpacing/>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宋体" w:hAnsi="宋体"/>
          <w:bCs/>
          <w:color w:val="auto"/>
          <w:sz w:val="24"/>
          <w:szCs w:val="21"/>
          <w:highlight w:val="none"/>
        </w:rPr>
        <w:br w:type="page" w:clear="all"/>
      </w:r>
      <w:bookmarkStart w:id="430" w:name="_Toc25376"/>
      <w:r/>
      <w:bookmarkStart w:id="431" w:name="_Toc4198"/>
      <w:r/>
      <w:bookmarkStart w:id="432" w:name="_Toc7056"/>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bookmarkEnd w:id="430"/>
      <w:r/>
      <w:bookmarkEnd w:id="431"/>
      <w:r/>
      <w:bookmarkEnd w:id="432"/>
      <w:r/>
      <w:r/>
    </w:p>
    <w:p>
      <w:pPr>
        <w:contextualSpacing/>
        <w:jc w:val="center"/>
        <w:spacing w:line="240" w:lineRule="auto"/>
        <w:rPr>
          <w:rFonts w:hint="eastAsia" w:ascii="宋体" w:hAnsi="宋体"/>
          <w:b/>
          <w:color w:val="auto"/>
          <w:sz w:val="32"/>
          <w:szCs w:val="32"/>
          <w:highlight w:val="none"/>
          <w:lang w:val="en-US" w:eastAsia="zh-CN"/>
        </w:rPr>
        <w:outlineLvl w:val="9"/>
      </w:pPr>
      <w:r/>
      <w:bookmarkStart w:id="433" w:name="_Toc30497"/>
      <w:r/>
      <w:bookmarkStart w:id="434" w:name="_Toc25120"/>
      <w:r/>
      <w:bookmarkStart w:id="435" w:name="_Toc161"/>
      <w:r>
        <w:rPr>
          <w:rFonts w:hint="eastAsia" w:ascii="宋体" w:hAnsi="宋体"/>
          <w:b/>
          <w:color w:val="auto"/>
          <w:sz w:val="32"/>
          <w:szCs w:val="32"/>
          <w:highlight w:val="none"/>
          <w:lang w:eastAsia="zh-CN"/>
        </w:rPr>
        <w:t xml:space="preserve">商务</w:t>
      </w:r>
      <w:r>
        <w:rPr>
          <w:rFonts w:hint="eastAsia" w:ascii="宋体" w:hAnsi="宋体"/>
          <w:b/>
          <w:color w:val="auto"/>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hint="default"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致海安市人民医院：</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   </w:t>
      </w:r>
      <w:r/>
    </w:p>
    <w:p>
      <w:pPr>
        <w:ind w:firstLine="480"/>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我公司郑重声明：完全响应招标文件《第三章项目需求》中</w:t>
      </w:r>
      <w:r>
        <w:rPr>
          <w:rFonts w:hint="eastAsia" w:ascii="宋体" w:hAnsi="宋体" w:cs="宋体"/>
          <w:sz w:val="24"/>
          <w:szCs w:val="24"/>
          <w:highlight w:val="none"/>
          <w:lang w:val="en-US" w:eastAsia="zh-CN"/>
        </w:rPr>
        <w:t xml:space="preserve">所有</w:t>
      </w:r>
      <w:r>
        <w:rPr>
          <w:rFonts w:hint="eastAsia" w:ascii="宋体" w:hAnsi="宋体" w:eastAsia="宋体" w:cs="宋体"/>
          <w:sz w:val="24"/>
          <w:szCs w:val="24"/>
          <w:highlight w:val="none"/>
          <w:lang w:val="en-US" w:eastAsia="zh-CN"/>
        </w:rPr>
        <w:t xml:space="preserve">商务要求，无任何负偏离。</w:t>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r>
      <w:r/>
    </w:p>
    <w:p>
      <w:pPr>
        <w:contextualSpacing/>
        <w:ind w:firstLine="48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供应商名称（加盖CA电子公章）：</w:t>
      </w:r>
      <w:r/>
    </w:p>
    <w:p>
      <w:pPr>
        <w:ind w:firstLine="480"/>
        <w:jc w:val="right"/>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法定代表人或其授权代表（电子签章或签字）：</w:t>
      </w:r>
      <w:r/>
    </w:p>
    <w:p>
      <w:pPr>
        <w:contextualSpacing/>
        <w:ind w:firstLine="480"/>
        <w:jc w:val="right"/>
        <w:spacing w:line="24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日期：</w:t>
      </w:r>
      <w:r/>
    </w:p>
    <w:p>
      <w:pPr>
        <w:rPr>
          <w:rFonts w:hint="eastAsia" w:ascii="宋体" w:hAnsi="宋体"/>
          <w:bCs/>
          <w:color w:val="auto"/>
          <w:sz w:val="22"/>
          <w:szCs w:val="22"/>
          <w:highlight w:val="none"/>
        </w:rPr>
      </w:pPr>
      <w:r>
        <w:rPr>
          <w:rFonts w:hint="eastAsia" w:ascii="宋体" w:hAnsi="宋体"/>
          <w:bCs/>
          <w:color w:val="auto"/>
          <w:sz w:val="22"/>
          <w:szCs w:val="22"/>
          <w:highlight w:val="none"/>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bookmarkEnd w:id="433"/>
      <w:r/>
      <w:bookmarkEnd w:id="434"/>
      <w:r/>
      <w:bookmarkEnd w:id="435"/>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07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bookmarkStart w:id="436" w:name="_Toc26256"/>
      <w:r/>
      <w:bookmarkStart w:id="437" w:name="_Toc26515"/>
      <w:r/>
      <w:bookmarkStart w:id="438" w:name="_Toc26345"/>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bookmarkEnd w:id="436"/>
      <w:r/>
      <w:bookmarkEnd w:id="437"/>
      <w:r/>
      <w:bookmarkEnd w:id="438"/>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bookmarkStart w:id="439" w:name="_Toc18808"/>
      <w:r/>
      <w:bookmarkStart w:id="440" w:name="_Toc17439"/>
      <w:r/>
      <w:bookmarkStart w:id="441" w:name="_Toc31831"/>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bookmarkEnd w:id="439"/>
      <w:r/>
      <w:bookmarkEnd w:id="440"/>
      <w:r/>
      <w:bookmarkEnd w:id="441"/>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分项报价明细表</w:t>
      </w:r>
      <w:r/>
    </w:p>
    <w:p>
      <w:pP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ageBreakBefore w:val="0"/>
        <w:spacing w:line="240" w:lineRule="auto"/>
        <w:rPr>
          <w:rFonts w:ascii="仿宋_GB2312" w:hAnsi="宋体" w:eastAsia="仿宋_GB2312"/>
          <w:color w:val="auto"/>
          <w:sz w:val="24"/>
          <w:szCs w:val="24"/>
          <w:highlight w:val="none"/>
        </w:rPr>
      </w:pPr>
      <w:r/>
      <w:bookmarkStart w:id="442" w:name="_Toc16960"/>
      <w:r/>
      <w:bookmarkStart w:id="443" w:name="_Toc23475"/>
      <w:r/>
      <w:bookmarkStart w:id="444" w:name="_Toc5132"/>
      <w:r>
        <w:rPr>
          <w:rFonts w:hint="eastAsia" w:ascii="宋体" w:hAnsi="宋体" w:eastAsia="宋体" w:cs="宋体"/>
          <w:color w:val="auto"/>
          <w:sz w:val="24"/>
          <w:szCs w:val="24"/>
          <w:highlight w:val="none"/>
        </w:rPr>
        <w:t xml:space="preserve">供应商（盖章）</w:t>
      </w:r>
      <w:r>
        <w:rPr>
          <w:rFonts w:hint="eastAsia" w:ascii="仿宋_GB2312" w:hAnsi="宋体" w:eastAsia="仿宋_GB2312"/>
          <w:color w:val="auto"/>
          <w:sz w:val="24"/>
          <w:szCs w:val="24"/>
          <w:highlight w:val="none"/>
        </w:rPr>
        <w:t xml:space="preserve">：</w:t>
      </w:r>
      <w:r/>
    </w:p>
    <w:tbl>
      <w:tblPr>
        <w:tblStyle w:val="1078"/>
        <w:tblW w:w="9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1161" w:hRule="exact"/>
        </w:trPr>
        <w:tc>
          <w:tcPr>
            <w:tcW w:w="1037"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134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名称</w:t>
            </w:r>
            <w:r/>
          </w:p>
        </w:tc>
        <w:tc>
          <w:tcPr>
            <w:tcW w:w="121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规格型号</w:t>
            </w:r>
            <w:r/>
          </w:p>
        </w:tc>
        <w:tc>
          <w:tcPr>
            <w:tcW w:w="1276"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品牌</w:t>
            </w:r>
            <w:r/>
          </w:p>
        </w:tc>
        <w:tc>
          <w:tcPr>
            <w:tcW w:w="992"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单位</w:t>
            </w:r>
            <w:r/>
          </w:p>
        </w:tc>
        <w:tc>
          <w:tcPr>
            <w:tcW w:w="85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数量</w:t>
            </w:r>
            <w:r/>
          </w:p>
        </w:tc>
        <w:tc>
          <w:tcPr>
            <w:tcW w:w="85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单价</w:t>
            </w:r>
            <w:r/>
          </w:p>
        </w:tc>
        <w:tc>
          <w:tcPr>
            <w:tcW w:w="851"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金额</w:t>
            </w:r>
            <w:r/>
          </w:p>
        </w:tc>
        <w:tc>
          <w:tcPr>
            <w:tcW w:w="1490" w:type="dxa"/>
            <w:vAlign w:val="center"/>
            <w:textDirection w:val="lrTb"/>
            <w:noWrap w:val="false"/>
          </w:tcPr>
          <w:p>
            <w:pPr>
              <w:jc w:val="center"/>
              <w:pageBreakBefore w:val="0"/>
              <w:spacing w:line="240" w:lineRule="auto"/>
              <w:rPr>
                <w:rFonts w:ascii="宋体" w:hAnsi="宋体"/>
                <w:b/>
                <w:color w:val="auto"/>
                <w:sz w:val="24"/>
                <w:szCs w:val="24"/>
                <w:highlight w:val="none"/>
              </w:rPr>
            </w:pPr>
            <w:r>
              <w:rPr>
                <w:rFonts w:hint="eastAsia" w:ascii="宋体" w:hAnsi="宋体" w:eastAsia="宋体" w:cs="Times New Roman"/>
                <w:b/>
                <w:color w:val="auto"/>
                <w:sz w:val="24"/>
                <w:szCs w:val="24"/>
                <w:highlight w:val="none"/>
              </w:rPr>
              <w:t xml:space="preserve">备注</w:t>
            </w:r>
            <w:r/>
          </w:p>
        </w:tc>
      </w:tr>
      <w:tr>
        <w:trPr>
          <w:cantSplit/>
          <w:trHeight w:val="479"/>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502"/>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513"/>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34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992"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90"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trHeight w:val="441"/>
        </w:trPr>
        <w:tc>
          <w:tcPr>
            <w:tcW w:w="1037"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8"/>
            <w:tcW w:w="8861" w:type="dxa"/>
            <w:vAlign w:val="center"/>
            <w:textDirection w:val="lrTb"/>
            <w:noWrap w:val="false"/>
          </w:tcPr>
          <w:p>
            <w:pPr>
              <w:jc w:val="center"/>
              <w:pageBreakBefore w:val="0"/>
              <w:spacing w:line="24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ind w:left="984" w:hanging="984"/>
        <w:pageBreakBefore w:val="0"/>
        <w:spacing w:line="240" w:lineRule="auto"/>
        <w:rPr>
          <w:rFonts w:ascii="仿宋_GB2312" w:hAnsi="Times New Roman" w:eastAsia="仿宋_GB2312"/>
          <w:b/>
          <w:bCs/>
          <w:color w:val="auto"/>
          <w:sz w:val="28"/>
          <w:szCs w:val="28"/>
          <w:highlight w:val="none"/>
        </w:rPr>
      </w:pPr>
      <w:r>
        <w:rPr>
          <w:rFonts w:ascii="仿宋_GB2312" w:hAnsi="Times New Roman" w:eastAsia="仿宋_GB2312"/>
          <w:b/>
          <w:bCs/>
          <w:color w:val="auto"/>
          <w:sz w:val="28"/>
          <w:szCs w:val="28"/>
          <w:highlight w:val="none"/>
        </w:rPr>
      </w:r>
      <w:r/>
    </w:p>
    <w:p>
      <w:pPr>
        <w:pageBreakBefore w:val="0"/>
        <w:spacing w:line="240" w:lineRule="auto"/>
        <w:rPr>
          <w:rFonts w:hint="eastAsia" w:ascii="宋体" w:hAnsi="宋体" w:cs="宋体"/>
          <w:b/>
          <w:color w:val="auto"/>
          <w:sz w:val="22"/>
          <w:szCs w:val="22"/>
          <w:highlight w:val="none"/>
          <w:lang w:val="zh-CN"/>
        </w:rPr>
        <w:outlineLvl w:val="9"/>
      </w:pPr>
      <w:r>
        <w:rPr>
          <w:rFonts w:hint="eastAsia" w:ascii="宋体" w:hAnsi="宋体" w:cs="宋体"/>
          <w:b/>
          <w:color w:val="auto"/>
          <w:sz w:val="22"/>
          <w:szCs w:val="22"/>
          <w:highlight w:val="none"/>
          <w:lang w:val="zh-CN"/>
        </w:rPr>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w:t>
      </w:r>
      <w:r>
        <w:rPr>
          <w:rFonts w:hint="eastAsia" w:ascii="宋体" w:hAnsi="宋体"/>
          <w:color w:val="auto"/>
          <w:sz w:val="22"/>
          <w:szCs w:val="22"/>
          <w:highlight w:val="none"/>
        </w:rPr>
        <w:t xml:space="preserve"> 供应商须详细备注主要标的信息，并</w:t>
      </w:r>
      <w:r>
        <w:rPr>
          <w:rFonts w:hint="eastAsia" w:ascii="宋体" w:hAnsi="宋体"/>
          <w:color w:val="auto"/>
          <w:sz w:val="22"/>
          <w:szCs w:val="22"/>
          <w:highlight w:val="none"/>
          <w:lang w:val="zh-CN"/>
        </w:rPr>
        <w:t xml:space="preserve">将随成交公告进行公示。内容不实的，属于提供虚假材料谋取中标、成交，依照《中华人民共和</w:t>
      </w:r>
      <w:r>
        <w:rPr>
          <w:rFonts w:hint="eastAsia" w:ascii="宋体" w:hAnsi="宋体"/>
          <w:color w:val="auto"/>
          <w:sz w:val="22"/>
          <w:szCs w:val="22"/>
          <w:highlight w:val="none"/>
        </w:rPr>
        <w:t xml:space="preserve">国政府采购法》等国家有关规定追究相应责</w:t>
      </w:r>
      <w:r>
        <w:rPr>
          <w:rFonts w:hint="eastAsia" w:ascii="宋体" w:hAnsi="宋体"/>
          <w:color w:val="auto"/>
          <w:sz w:val="22"/>
          <w:szCs w:val="22"/>
          <w:highlight w:val="none"/>
          <w:lang w:val="zh-CN"/>
        </w:rPr>
        <w:t xml:space="preserve">任。</w:t>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bookmarkEnd w:id="442"/>
      <w:r/>
      <w:bookmarkEnd w:id="443"/>
      <w:r/>
      <w:bookmarkEnd w:id="444"/>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中小企业声明函（货物）</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1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r>
      <w:r/>
    </w:p>
    <w:p>
      <w:pPr>
        <w:ind w:firstLine="480"/>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注：1.如项目属性为“货物”，请按本表填写。</w:t>
      </w:r>
      <w:r/>
    </w:p>
    <w:p>
      <w:pPr>
        <w:ind w:firstLine="420"/>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3.</w:t>
      </w:r>
      <w:r>
        <w:rPr>
          <w:rFonts w:hint="eastAsia" w:ascii="宋体" w:hAnsi="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bidi="zh-CN"/>
        </w:rPr>
        <w:t xml:space="preserve">须根据上述要求，详细列明货物清单中所有产品制造商的具体情况，否则不能享受中小企业扶持政策。</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4.中标</w:t>
      </w:r>
      <w:r>
        <w:rPr>
          <w:rFonts w:hint="eastAsia" w:ascii="宋体" w:hAnsi="宋体" w:eastAsia="宋体" w:cs="宋体"/>
          <w:color w:val="auto"/>
          <w:sz w:val="21"/>
          <w:szCs w:val="21"/>
          <w:highlight w:val="none"/>
          <w:lang w:val="en-US" w:bidi="zh-CN"/>
        </w:rPr>
        <w:t xml:space="preserve">人</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eastAsia="宋体" w:cs="宋体"/>
          <w:b/>
          <w:bCs/>
          <w:color w:val="auto"/>
          <w:sz w:val="21"/>
          <w:szCs w:val="21"/>
          <w:highlight w:val="none"/>
          <w:lang w:val="en-US" w:bidi="zh-CN"/>
        </w:rPr>
        <w:t xml:space="preserve">5.</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none"/>
          <w:lang w:val="en-US" w:bidi="zh-CN"/>
        </w:rPr>
        <w:t xml:space="preserve">下划线的内容须填写完整准确，因内容缺失导致的问题由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1084"/>
        <w:ind w:left="0" w:firstLine="0"/>
        <w:rPr>
          <w:rFonts w:hint="eastAsia"/>
          <w:color w:val="auto"/>
          <w:highlight w:val="none"/>
        </w:rPr>
      </w:pPr>
      <w:r>
        <w:rPr>
          <w:rFonts w:hint="eastAsia"/>
          <w:color w:val="auto"/>
          <w:highlight w:val="none"/>
        </w:rPr>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45" w:name="_Toc1462"/>
      <w:r/>
      <w:bookmarkStart w:id="446" w:name="_Toc13661"/>
      <w:r/>
      <w:bookmarkStart w:id="447" w:name="_Toc4515"/>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bookmarkEnd w:id="445"/>
      <w:r/>
      <w:bookmarkEnd w:id="446"/>
      <w:r/>
      <w:bookmarkEnd w:id="44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bookmarkStart w:id="448" w:name="_Toc5618"/>
      <w:r/>
      <w:bookmarkStart w:id="449" w:name="_Toc23446"/>
      <w:r/>
      <w:bookmarkStart w:id="450" w:name="_Toc32019"/>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bookmarkEnd w:id="448"/>
      <w:r/>
      <w:bookmarkEnd w:id="449"/>
      <w:r/>
      <w:bookmarkEnd w:id="450"/>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bookmarkStart w:id="451" w:name="_Toc21785"/>
      <w:r/>
      <w:bookmarkStart w:id="452" w:name="_Toc13312"/>
      <w:r/>
      <w:bookmarkStart w:id="453" w:name="_Toc26947"/>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bookmarkEnd w:id="451"/>
      <w:r/>
      <w:bookmarkEnd w:id="452"/>
      <w:r/>
      <w:bookmarkEnd w:id="453"/>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bookmarkStart w:id="454" w:name="_Toc24729"/>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bookmarkStart w:id="455" w:name="_Toc123"/>
      <w:r/>
      <w:bookmarkStart w:id="456" w:name="_Toc2099"/>
      <w:r/>
      <w:bookmarkStart w:id="457" w:name="_Toc9069"/>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bookmarkEnd w:id="455"/>
      <w:r/>
      <w:bookmarkEnd w:id="456"/>
      <w:r/>
      <w:bookmarkEnd w:id="457"/>
      <w:r/>
      <w:r/>
    </w:p>
    <w:p>
      <w:pPr>
        <w:pStyle w:val="1101"/>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bookmarkEnd w:id="454"/>
      <w:r/>
      <w:r/>
    </w:p>
    <w:p>
      <w:pPr>
        <w:pStyle w:val="1101"/>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10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10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bookmarkStart w:id="458" w:name="_Toc13562"/>
      <w:r/>
      <w:bookmarkStart w:id="459" w:name="_Toc1288"/>
      <w:r/>
      <w:bookmarkStart w:id="460" w:name="_Toc12779"/>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bookmarkEnd w:id="458"/>
      <w:r/>
      <w:bookmarkEnd w:id="459"/>
      <w:r/>
      <w:bookmarkEnd w:id="460"/>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61" w:name="_Toc7575_WPSOffice_Level2"/>
      <w:r/>
      <w:bookmarkStart w:id="462" w:name="_Toc29358"/>
      <w:r>
        <w:rPr>
          <w:rFonts w:hint="eastAsia" w:ascii="Times New Roman" w:hAnsi="Times New Roman" w:eastAsia="宋体" w:cs="Times New Roman"/>
          <w:b/>
          <w:bCs/>
          <w:color w:val="auto"/>
          <w:sz w:val="28"/>
          <w:szCs w:val="28"/>
          <w:highlight w:val="none"/>
          <w:lang w:val="en-US" w:eastAsia="zh-CN" w:bidi="zh-CN"/>
        </w:rPr>
        <w:t xml:space="preserve">无重大违法行为声明</w:t>
      </w:r>
      <w:bookmarkEnd w:id="461"/>
      <w:r/>
      <w:bookmarkEnd w:id="462"/>
      <w:r/>
      <w:r/>
    </w:p>
    <w:p>
      <w:pPr>
        <w:pStyle w:val="1101"/>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102"/>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102"/>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102"/>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02"/>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color w:val="auto"/>
          <w:sz w:val="32"/>
          <w:szCs w:val="32"/>
          <w:highlight w:val="none"/>
          <w:lang w:val="en-US" w:eastAsia="zh-CN"/>
        </w:rPr>
        <w:outlineLvl w:val="2"/>
      </w:pPr>
      <w:r>
        <w:rPr>
          <w:rFonts w:hint="eastAsia" w:ascii="宋体" w:hAnsi="宋体" w:eastAsia="宋体" w:cs="宋体"/>
          <w:color w:val="auto"/>
          <w:sz w:val="32"/>
          <w:szCs w:val="32"/>
          <w:highlight w:val="none"/>
        </w:rPr>
        <w:br w:type="page" w:clear="all"/>
      </w:r>
      <w:bookmarkStart w:id="463" w:name="_Toc28057"/>
      <w:r/>
      <w:bookmarkStart w:id="464" w:name="_Toc17121"/>
      <w:r/>
      <w:bookmarkStart w:id="465" w:name="_Toc16539"/>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6</w:t>
      </w:r>
      <w:bookmarkEnd w:id="463"/>
      <w:r/>
      <w:bookmarkEnd w:id="464"/>
      <w:r/>
      <w:bookmarkEnd w:id="465"/>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供应商基本情况表</w:t>
      </w:r>
      <w:r/>
    </w:p>
    <w:tbl>
      <w:tblPr>
        <w:tblStyle w:val="10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7"/>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21"/>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103"/>
              <w:ind w:firstLine="1432"/>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103"/>
              <w:jc w:val="cente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103"/>
              <w:pageBreakBefore w:val="0"/>
              <w:spacing w:line="24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小微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如供应商属于小微企业，</w:t>
            </w:r>
            <w:r>
              <w:rPr>
                <w:rFonts w:hint="eastAsia" w:ascii="宋体" w:hAnsi="宋体" w:eastAsia="宋体" w:cs="宋体"/>
                <w:b/>
                <w:bCs/>
                <w:color w:val="auto"/>
                <w:sz w:val="24"/>
                <w:szCs w:val="24"/>
                <w:highlight w:val="none"/>
                <w:lang w:val="en-US" w:eastAsia="zh-CN"/>
              </w:rPr>
              <w:t xml:space="preserve">请</w:t>
            </w:r>
            <w:r>
              <w:rPr>
                <w:rFonts w:hint="eastAsia" w:ascii="宋体" w:hAnsi="宋体" w:cs="宋体"/>
                <w:b/>
                <w:bCs/>
                <w:color w:val="auto"/>
                <w:sz w:val="24"/>
                <w:szCs w:val="24"/>
                <w:highlight w:val="none"/>
                <w:lang w:val="en-US" w:eastAsia="zh-CN"/>
              </w:rPr>
              <w:t xml:space="preserve">在本表后附盖章证明材料，包括不限于承诺函、企查查等</w:t>
            </w:r>
            <w:r>
              <w:rPr>
                <w:rFonts w:hint="eastAsia" w:ascii="宋体" w:hAnsi="宋体" w:eastAsia="宋体" w:cs="宋体"/>
                <w:b/>
                <w:bCs/>
                <w:color w:val="auto"/>
                <w:sz w:val="24"/>
                <w:szCs w:val="24"/>
                <w:highlight w:val="none"/>
                <w:lang w:eastAsia="zh-CN"/>
              </w:rPr>
              <w:t xml:space="preserve">）</w:t>
            </w:r>
            <w:r/>
          </w:p>
        </w:tc>
      </w:tr>
    </w:tbl>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宋体" w:hAnsi="宋体" w:eastAsia="宋体" w:cs="宋体"/>
          <w:color w:val="auto"/>
          <w:sz w:val="32"/>
          <w:szCs w:val="32"/>
          <w:highlight w:val="none"/>
        </w:rPr>
        <w:br w:type="page" w:clear="all"/>
      </w:r>
      <w:bookmarkStart w:id="466" w:name="_Toc18440"/>
      <w:r/>
      <w:bookmarkStart w:id="467" w:name="_Toc27324"/>
      <w:r/>
      <w:bookmarkStart w:id="468" w:name="_Toc32144"/>
      <w:r>
        <w:rPr>
          <w:rFonts w:ascii="Times New Roman" w:hAnsi="Times New Roman" w:eastAsia="方正黑体_GBK"/>
          <w:color w:val="auto"/>
          <w:sz w:val="32"/>
          <w:szCs w:val="32"/>
          <w:highlight w:val="none"/>
        </w:rPr>
        <w:t xml:space="preserve">附件1</w:t>
      </w:r>
      <w:r>
        <w:rPr>
          <w:rFonts w:hint="eastAsia" w:eastAsia="方正黑体_GBK"/>
          <w:color w:val="auto"/>
          <w:sz w:val="32"/>
          <w:szCs w:val="32"/>
          <w:highlight w:val="none"/>
          <w:lang w:val="en-US" w:eastAsia="zh-CN"/>
        </w:rPr>
        <w:t xml:space="preserve">7</w:t>
      </w:r>
      <w:bookmarkEnd w:id="466"/>
      <w:r/>
      <w:bookmarkEnd w:id="467"/>
      <w:r/>
      <w:bookmarkEnd w:id="468"/>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bookmarkStart w:id="469" w:name="_Toc2157"/>
      <w:r>
        <w:rPr>
          <w:rFonts w:hint="eastAsia" w:ascii="宋体" w:hAnsi="宋体" w:cs="仿宋"/>
          <w:bCs/>
          <w:color w:val="auto"/>
          <w:sz w:val="24"/>
          <w:szCs w:val="24"/>
          <w:highlight w:val="none"/>
        </w:rPr>
        <w:t xml:space="preserve">一、质疑供应商基本信息</w:t>
      </w:r>
      <w:bookmarkEnd w:id="469"/>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70" w:name="_Toc29665"/>
      <w:r>
        <w:rPr>
          <w:rFonts w:hint="eastAsia" w:ascii="宋体" w:hAnsi="宋体" w:cs="仿宋"/>
          <w:bCs/>
          <w:color w:val="auto"/>
          <w:sz w:val="24"/>
          <w:szCs w:val="24"/>
          <w:highlight w:val="none"/>
        </w:rPr>
        <w:t xml:space="preserve">二、质疑项目基本情况</w:t>
      </w:r>
      <w:bookmarkEnd w:id="470"/>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bookmarkStart w:id="471" w:name="_Toc5896"/>
      <w:r>
        <w:rPr>
          <w:rFonts w:hint="eastAsia" w:ascii="宋体" w:hAnsi="宋体" w:cs="仿宋"/>
          <w:bCs/>
          <w:color w:val="auto"/>
          <w:sz w:val="24"/>
          <w:szCs w:val="24"/>
          <w:highlight w:val="none"/>
        </w:rPr>
        <w:t xml:space="preserve">三、质疑事项具体内容</w:t>
      </w:r>
      <w:bookmarkEnd w:id="471"/>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bookmarkStart w:id="472" w:name="_Toc31417"/>
      <w:r>
        <w:rPr>
          <w:rFonts w:hint="eastAsia" w:ascii="宋体" w:hAnsi="宋体" w:cs="仿宋"/>
          <w:bCs/>
          <w:color w:val="auto"/>
          <w:sz w:val="24"/>
          <w:szCs w:val="24"/>
          <w:highlight w:val="none"/>
        </w:rPr>
        <w:t xml:space="preserve">四、与质疑事项相关的质疑请求</w:t>
      </w:r>
      <w:bookmarkEnd w:id="472"/>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bookmarkStart w:id="473" w:name="_Toc12071"/>
      <w:r>
        <w:rPr>
          <w:rFonts w:hint="eastAsia" w:ascii="宋体" w:hAnsi="宋体"/>
          <w:color w:val="auto"/>
          <w:sz w:val="24"/>
          <w:szCs w:val="24"/>
          <w:highlight w:val="none"/>
        </w:rPr>
        <w:t xml:space="preserve">1.供应商提出质疑时，应提交质疑函和必要的证明材料。</w:t>
      </w:r>
      <w:bookmarkEnd w:id="473"/>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bookmarkStart w:id="474" w:name="_Toc24202"/>
      <w:r>
        <w:rPr>
          <w:rFonts w:hint="eastAsia" w:ascii="宋体" w:hAnsi="宋体"/>
          <w:color w:val="auto"/>
          <w:sz w:val="24"/>
          <w:szCs w:val="24"/>
          <w:highlight w:val="none"/>
        </w:rPr>
        <w:t xml:space="preserve">5.质疑函的质疑请求应与质疑事项相关。</w:t>
      </w:r>
      <w:bookmarkEnd w:id="474"/>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295"/>
      <w:r/>
      <w:bookmarkEnd w:id="296"/>
      <w:r/>
      <w:bookmarkEnd w:id="426"/>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eastAsia" w:ascii="仿宋_GB2312" w:eastAsia="方正黑体_GBK"/>
          <w:b/>
          <w:color w:val="auto"/>
          <w:sz w:val="32"/>
          <w:szCs w:val="32"/>
          <w:highlight w:val="none"/>
          <w:lang w:eastAsia="zh-CN"/>
        </w:rPr>
        <w:outlineLvl w:val="2"/>
      </w:pPr>
      <w:r/>
      <w:bookmarkStart w:id="475" w:name="_Toc26828"/>
      <w:r/>
      <w:bookmarkStart w:id="476" w:name="_Toc4800"/>
      <w:r/>
      <w:bookmarkStart w:id="477" w:name="_Toc21909"/>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rPr>
        <w:t xml:space="preserve">1</w:t>
      </w:r>
      <w:r>
        <w:rPr>
          <w:rFonts w:hint="eastAsia" w:eastAsia="方正黑体_GBK"/>
          <w:color w:val="auto"/>
          <w:sz w:val="32"/>
          <w:szCs w:val="32"/>
          <w:highlight w:val="none"/>
          <w:lang w:val="en-US" w:eastAsia="zh-CN"/>
        </w:rPr>
        <w:t xml:space="preserve">8</w:t>
      </w:r>
      <w:bookmarkEnd w:id="475"/>
      <w:r/>
      <w:bookmarkEnd w:id="476"/>
      <w:r/>
      <w:bookmarkEnd w:id="477"/>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bookmarkStart w:id="478" w:name="_Toc17784"/>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bookmarkEnd w:id="478"/>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r/>
    </w:p>
    <w:p>
      <w:pPr>
        <w:pageBreakBefore w:val="0"/>
        <w:spacing w:line="240" w:lineRule="auto"/>
        <w:rPr>
          <w:color w:val="auto"/>
          <w:highlight w:val="none"/>
        </w:rPr>
      </w:pPr>
      <w:r>
        <w:rPr>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Calibri">
    <w:panose1 w:val="020F0502020204030204"/>
  </w:font>
  <w:font w:name="华文楷体">
    <w:panose1 w:val="02010600040101010101"/>
  </w:font>
  <w:font w:name="Wingdings">
    <w:panose1 w:val="05000000000000000000"/>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11430</wp:posOffset>
              </wp:positionH>
              <wp:positionV relativeFrom="paragraph">
                <wp:posOffset>0</wp:posOffset>
              </wp:positionV>
              <wp:extent cx="5708650" cy="32448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5708650" cy="3244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0.9pt;mso-position-horizontal:absolute;mso-position-vertical-relative:text;margin-top:0.0pt;mso-position-vertical:absolute;width:449.5pt;height:25.5pt;mso-wrap-distance-left:9.0pt;mso-wrap-distance-top:0.0pt;mso-wrap-distance-right:9.0pt;mso-wrap-distance-bottom:0.0pt;v-text-anchor:top;visibility:visible;" filled="f" stroked="f" strokeweight="0.50pt">
              <v:textbox inset="0,0,0,0">
                <w:txbxContent>
                  <w:p>
                    <w:pPr>
                      <w:pStyle w:val="1087"/>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10160</wp:posOffset>
              </wp:positionH>
              <wp:positionV relativeFrom="paragraph">
                <wp:posOffset>12065</wp:posOffset>
              </wp:positionV>
              <wp:extent cx="54991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54991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jc w:val="center"/>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argin-left:0.8pt;mso-position-horizontal:absolute;mso-position-vertical-relative:text;margin-top:0.9pt;mso-position-vertical:absolute;width:433.0pt;height:144.0pt;mso-wrap-distance-left:9.0pt;mso-wrap-distance-top:0.0pt;mso-wrap-distance-right:9.0pt;mso-wrap-distance-bottom:0.0pt;v-text-anchor:top;visibility:visible;" filled="f" stroked="f" strokeweight="0.50pt">
              <v:textbox inset="0,0,0,0">
                <w:txbxContent>
                  <w:p>
                    <w:pPr>
                      <w:pStyle w:val="1087"/>
                      <w:jc w:val="center"/>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-9525</wp:posOffset>
              </wp:positionH>
              <wp:positionV relativeFrom="paragraph">
                <wp:posOffset>0</wp:posOffset>
              </wp:positionV>
              <wp:extent cx="5814695" cy="52514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5814695" cy="5251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jc w:val="center"/>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59264;o:allowoverlap:true;o:allowincell:true;mso-position-horizontal-relative:margin;margin-left:-0.8pt;mso-position-horizontal:absolute;mso-position-vertical-relative:text;margin-top:0.0pt;mso-position-vertical:absolute;width:457.8pt;height:41.4pt;mso-wrap-distance-left:9.0pt;mso-wrap-distance-top:0.0pt;mso-wrap-distance-right:9.0pt;mso-wrap-distance-bottom:0.0pt;v-text-anchor:top;visibility:visible;" filled="f" stroked="f" strokeweight="0.50pt">
              <v:textbox inset="0,0,0,0">
                <w:txbxContent>
                  <w:p>
                    <w:pPr>
                      <w:pStyle w:val="1087"/>
                      <w:jc w:val="center"/>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p>
    <w:pPr>
      <w:pStyle w:val="1087"/>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rPr>
        <w:rStyle w:val="1095"/>
      </w:rPr>
      <w:framePr w:wrap="around" w:vAnchor="text" w:hAnchor="margin" w:xAlign="center" w:y="1"/>
    </w:pPr>
    <w:r>
      <w:fldChar w:fldCharType="begin"/>
    </w:r>
    <w:r>
      <w:rPr>
        <w:rStyle w:val="1095"/>
      </w:rPr>
      <w:instrText xml:space="preserve">PAGE  </w:instrText>
    </w:r>
    <w:r>
      <w:fldChar w:fldCharType="separate"/>
    </w:r>
    <w:r>
      <w:rPr>
        <w:rStyle w:val="1095"/>
      </w:rPr>
      <w:t xml:space="preserve">1</w:t>
    </w:r>
    <w:r>
      <w:fldChar w:fldCharType="end"/>
    </w:r>
    <w:r/>
  </w:p>
  <w:p>
    <w:pPr>
      <w:pStyle w:val="108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8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4"/>
  </w:num>
  <w:num w:numId="4">
    <w:abstractNumId w:val="2"/>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6">
    <w:name w:val="Heading 1 Char"/>
    <w:basedOn w:val="1077"/>
    <w:link w:val="1074"/>
    <w:uiPriority w:val="9"/>
    <w:rPr>
      <w:rFonts w:ascii="Arial" w:hAnsi="Arial" w:eastAsia="Arial" w:cs="Arial"/>
      <w:sz w:val="40"/>
      <w:szCs w:val="40"/>
    </w:rPr>
  </w:style>
  <w:style w:type="character" w:styleId="907">
    <w:name w:val="Heading 2 Char"/>
    <w:basedOn w:val="1077"/>
    <w:link w:val="1075"/>
    <w:uiPriority w:val="9"/>
    <w:rPr>
      <w:rFonts w:ascii="Arial" w:hAnsi="Arial" w:eastAsia="Arial" w:cs="Arial"/>
      <w:sz w:val="34"/>
    </w:rPr>
  </w:style>
  <w:style w:type="paragraph" w:styleId="908">
    <w:name w:val="Heading 3"/>
    <w:basedOn w:val="1073"/>
    <w:next w:val="1073"/>
    <w:link w:val="909"/>
    <w:uiPriority w:val="9"/>
    <w:unhideWhenUsed/>
    <w:qFormat/>
    <w:pPr>
      <w:keepLines/>
      <w:keepNext/>
      <w:spacing w:before="320" w:after="200"/>
      <w:outlineLvl w:val="2"/>
    </w:pPr>
    <w:rPr>
      <w:rFonts w:ascii="Arial" w:hAnsi="Arial" w:eastAsia="Arial" w:cs="Arial"/>
      <w:sz w:val="30"/>
      <w:szCs w:val="30"/>
    </w:rPr>
  </w:style>
  <w:style w:type="character" w:styleId="909">
    <w:name w:val="Heading 3 Char"/>
    <w:basedOn w:val="1077"/>
    <w:link w:val="908"/>
    <w:uiPriority w:val="9"/>
    <w:rPr>
      <w:rFonts w:ascii="Arial" w:hAnsi="Arial" w:eastAsia="Arial" w:cs="Arial"/>
      <w:sz w:val="30"/>
      <w:szCs w:val="30"/>
    </w:rPr>
  </w:style>
  <w:style w:type="character" w:styleId="910">
    <w:name w:val="Heading 4 Char"/>
    <w:basedOn w:val="1077"/>
    <w:link w:val="1076"/>
    <w:uiPriority w:val="9"/>
    <w:rPr>
      <w:rFonts w:ascii="Arial" w:hAnsi="Arial" w:eastAsia="Arial" w:cs="Arial"/>
      <w:b/>
      <w:bCs/>
      <w:sz w:val="26"/>
      <w:szCs w:val="26"/>
    </w:rPr>
  </w:style>
  <w:style w:type="paragraph" w:styleId="911">
    <w:name w:val="Heading 5"/>
    <w:basedOn w:val="1073"/>
    <w:next w:val="1073"/>
    <w:link w:val="912"/>
    <w:uiPriority w:val="9"/>
    <w:unhideWhenUsed/>
    <w:qFormat/>
    <w:pPr>
      <w:keepLines/>
      <w:keepNext/>
      <w:spacing w:before="320" w:after="200"/>
      <w:outlineLvl w:val="4"/>
    </w:pPr>
    <w:rPr>
      <w:rFonts w:ascii="Arial" w:hAnsi="Arial" w:eastAsia="Arial" w:cs="Arial"/>
      <w:b/>
      <w:bCs/>
      <w:sz w:val="24"/>
      <w:szCs w:val="24"/>
    </w:rPr>
  </w:style>
  <w:style w:type="character" w:styleId="912">
    <w:name w:val="Heading 5 Char"/>
    <w:basedOn w:val="1077"/>
    <w:link w:val="911"/>
    <w:uiPriority w:val="9"/>
    <w:rPr>
      <w:rFonts w:ascii="Arial" w:hAnsi="Arial" w:eastAsia="Arial" w:cs="Arial"/>
      <w:b/>
      <w:bCs/>
      <w:sz w:val="24"/>
      <w:szCs w:val="24"/>
    </w:rPr>
  </w:style>
  <w:style w:type="paragraph" w:styleId="913">
    <w:name w:val="Heading 6"/>
    <w:basedOn w:val="1073"/>
    <w:next w:val="1073"/>
    <w:link w:val="914"/>
    <w:uiPriority w:val="9"/>
    <w:unhideWhenUsed/>
    <w:qFormat/>
    <w:pPr>
      <w:keepLines/>
      <w:keepNext/>
      <w:spacing w:before="320" w:after="200"/>
      <w:outlineLvl w:val="5"/>
    </w:pPr>
    <w:rPr>
      <w:rFonts w:ascii="Arial" w:hAnsi="Arial" w:eastAsia="Arial" w:cs="Arial"/>
      <w:b/>
      <w:bCs/>
      <w:sz w:val="22"/>
      <w:szCs w:val="22"/>
    </w:rPr>
  </w:style>
  <w:style w:type="character" w:styleId="914">
    <w:name w:val="Heading 6 Char"/>
    <w:basedOn w:val="1077"/>
    <w:link w:val="913"/>
    <w:uiPriority w:val="9"/>
    <w:rPr>
      <w:rFonts w:ascii="Arial" w:hAnsi="Arial" w:eastAsia="Arial" w:cs="Arial"/>
      <w:b/>
      <w:bCs/>
      <w:sz w:val="22"/>
      <w:szCs w:val="22"/>
    </w:rPr>
  </w:style>
  <w:style w:type="paragraph" w:styleId="915">
    <w:name w:val="Heading 7"/>
    <w:basedOn w:val="1073"/>
    <w:next w:val="1073"/>
    <w:link w:val="916"/>
    <w:uiPriority w:val="9"/>
    <w:unhideWhenUsed/>
    <w:qFormat/>
    <w:pPr>
      <w:keepLines/>
      <w:keepNext/>
      <w:spacing w:before="320" w:after="200"/>
      <w:outlineLvl w:val="6"/>
    </w:pPr>
    <w:rPr>
      <w:rFonts w:ascii="Arial" w:hAnsi="Arial" w:eastAsia="Arial" w:cs="Arial"/>
      <w:b/>
      <w:bCs/>
      <w:i/>
      <w:iCs/>
      <w:sz w:val="22"/>
      <w:szCs w:val="22"/>
    </w:rPr>
  </w:style>
  <w:style w:type="character" w:styleId="916">
    <w:name w:val="Heading 7 Char"/>
    <w:basedOn w:val="1077"/>
    <w:link w:val="915"/>
    <w:uiPriority w:val="9"/>
    <w:rPr>
      <w:rFonts w:ascii="Arial" w:hAnsi="Arial" w:eastAsia="Arial" w:cs="Arial"/>
      <w:b/>
      <w:bCs/>
      <w:i/>
      <w:iCs/>
      <w:sz w:val="22"/>
      <w:szCs w:val="22"/>
    </w:rPr>
  </w:style>
  <w:style w:type="paragraph" w:styleId="917">
    <w:name w:val="Heading 8"/>
    <w:basedOn w:val="1073"/>
    <w:next w:val="1073"/>
    <w:link w:val="918"/>
    <w:uiPriority w:val="9"/>
    <w:unhideWhenUsed/>
    <w:qFormat/>
    <w:pPr>
      <w:keepLines/>
      <w:keepNext/>
      <w:spacing w:before="320" w:after="200"/>
      <w:outlineLvl w:val="7"/>
    </w:pPr>
    <w:rPr>
      <w:rFonts w:ascii="Arial" w:hAnsi="Arial" w:eastAsia="Arial" w:cs="Arial"/>
      <w:i/>
      <w:iCs/>
      <w:sz w:val="22"/>
      <w:szCs w:val="22"/>
    </w:rPr>
  </w:style>
  <w:style w:type="character" w:styleId="918">
    <w:name w:val="Heading 8 Char"/>
    <w:basedOn w:val="1077"/>
    <w:link w:val="917"/>
    <w:uiPriority w:val="9"/>
    <w:rPr>
      <w:rFonts w:ascii="Arial" w:hAnsi="Arial" w:eastAsia="Arial" w:cs="Arial"/>
      <w:i/>
      <w:iCs/>
      <w:sz w:val="22"/>
      <w:szCs w:val="22"/>
    </w:rPr>
  </w:style>
  <w:style w:type="paragraph" w:styleId="919">
    <w:name w:val="Heading 9"/>
    <w:basedOn w:val="1073"/>
    <w:next w:val="1073"/>
    <w:link w:val="920"/>
    <w:uiPriority w:val="9"/>
    <w:unhideWhenUsed/>
    <w:qFormat/>
    <w:pPr>
      <w:keepLines/>
      <w:keepNext/>
      <w:spacing w:before="320" w:after="200"/>
      <w:outlineLvl w:val="8"/>
    </w:pPr>
    <w:rPr>
      <w:rFonts w:ascii="Arial" w:hAnsi="Arial" w:eastAsia="Arial" w:cs="Arial"/>
      <w:i/>
      <w:iCs/>
      <w:sz w:val="21"/>
      <w:szCs w:val="21"/>
    </w:rPr>
  </w:style>
  <w:style w:type="character" w:styleId="920">
    <w:name w:val="Heading 9 Char"/>
    <w:basedOn w:val="1077"/>
    <w:link w:val="919"/>
    <w:uiPriority w:val="9"/>
    <w:rPr>
      <w:rFonts w:ascii="Arial" w:hAnsi="Arial" w:eastAsia="Arial" w:cs="Arial"/>
      <w:i/>
      <w:iCs/>
      <w:sz w:val="21"/>
      <w:szCs w:val="21"/>
    </w:rPr>
  </w:style>
  <w:style w:type="paragraph" w:styleId="921">
    <w:name w:val="No Spacing"/>
    <w:uiPriority w:val="1"/>
    <w:qFormat/>
    <w:pPr>
      <w:spacing w:before="0" w:after="0" w:line="240" w:lineRule="auto"/>
    </w:pPr>
  </w:style>
  <w:style w:type="paragraph" w:styleId="922">
    <w:name w:val="Title"/>
    <w:basedOn w:val="1073"/>
    <w:next w:val="1073"/>
    <w:link w:val="923"/>
    <w:uiPriority w:val="10"/>
    <w:qFormat/>
    <w:pPr>
      <w:contextualSpacing/>
      <w:spacing w:before="300" w:after="200"/>
    </w:pPr>
    <w:rPr>
      <w:sz w:val="48"/>
      <w:szCs w:val="48"/>
    </w:rPr>
  </w:style>
  <w:style w:type="character" w:styleId="923">
    <w:name w:val="Title Char"/>
    <w:basedOn w:val="1077"/>
    <w:link w:val="922"/>
    <w:uiPriority w:val="10"/>
    <w:rPr>
      <w:sz w:val="48"/>
      <w:szCs w:val="48"/>
    </w:rPr>
  </w:style>
  <w:style w:type="paragraph" w:styleId="924">
    <w:name w:val="Subtitle"/>
    <w:basedOn w:val="1073"/>
    <w:next w:val="1073"/>
    <w:link w:val="925"/>
    <w:uiPriority w:val="11"/>
    <w:qFormat/>
    <w:pPr>
      <w:spacing w:before="200" w:after="200"/>
    </w:pPr>
    <w:rPr>
      <w:sz w:val="24"/>
      <w:szCs w:val="24"/>
    </w:rPr>
  </w:style>
  <w:style w:type="character" w:styleId="925">
    <w:name w:val="Subtitle Char"/>
    <w:basedOn w:val="1077"/>
    <w:link w:val="924"/>
    <w:uiPriority w:val="11"/>
    <w:rPr>
      <w:sz w:val="24"/>
      <w:szCs w:val="24"/>
    </w:rPr>
  </w:style>
  <w:style w:type="paragraph" w:styleId="926">
    <w:name w:val="Quote"/>
    <w:basedOn w:val="1073"/>
    <w:next w:val="1073"/>
    <w:link w:val="927"/>
    <w:uiPriority w:val="29"/>
    <w:qFormat/>
    <w:pPr>
      <w:ind w:left="720" w:right="720"/>
    </w:pPr>
    <w:rPr>
      <w:i/>
    </w:rPr>
  </w:style>
  <w:style w:type="character" w:styleId="927">
    <w:name w:val="Quote Char"/>
    <w:link w:val="926"/>
    <w:uiPriority w:val="29"/>
    <w:rPr>
      <w:i/>
    </w:rPr>
  </w:style>
  <w:style w:type="paragraph" w:styleId="928">
    <w:name w:val="Intense Quote"/>
    <w:basedOn w:val="1073"/>
    <w:next w:val="1073"/>
    <w:link w:val="9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name w:val="Intense Quote Char"/>
    <w:link w:val="928"/>
    <w:uiPriority w:val="30"/>
    <w:rPr>
      <w:i/>
    </w:rPr>
  </w:style>
  <w:style w:type="character" w:styleId="930">
    <w:name w:val="Header Char"/>
    <w:basedOn w:val="1077"/>
    <w:link w:val="1089"/>
    <w:uiPriority w:val="99"/>
  </w:style>
  <w:style w:type="character" w:styleId="931">
    <w:name w:val="Footer Char"/>
    <w:basedOn w:val="1077"/>
    <w:link w:val="1087"/>
    <w:uiPriority w:val="99"/>
  </w:style>
  <w:style w:type="paragraph" w:styleId="932">
    <w:name w:val="Caption"/>
    <w:basedOn w:val="1073"/>
    <w:next w:val="1073"/>
    <w:uiPriority w:val="35"/>
    <w:semiHidden/>
    <w:unhideWhenUsed/>
    <w:qFormat/>
    <w:pPr>
      <w:spacing w:line="276" w:lineRule="auto"/>
    </w:pPr>
    <w:rPr>
      <w:b/>
      <w:bCs/>
      <w:color w:val="4f81bd" w:themeColor="accent1"/>
      <w:sz w:val="18"/>
      <w:szCs w:val="18"/>
    </w:rPr>
  </w:style>
  <w:style w:type="character" w:styleId="933">
    <w:name w:val="Caption Char"/>
    <w:basedOn w:val="932"/>
    <w:link w:val="1087"/>
    <w:uiPriority w:val="99"/>
  </w:style>
  <w:style w:type="table" w:styleId="934">
    <w:name w:val="Table Grid Light"/>
    <w:basedOn w:val="10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5">
    <w:name w:val="Plain Table 1"/>
    <w:basedOn w:val="10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name w:val="Plain Table 2"/>
    <w:basedOn w:val="10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3"/>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name w:val="Plain Table 4"/>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name w:val="Plain Table 5"/>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0">
    <w:name w:val="Grid Table 1 Light"/>
    <w:basedOn w:val="10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1">
    <w:name w:val="Grid Table 1 Light - Accent 1"/>
    <w:basedOn w:val="10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2">
    <w:name w:val="Grid Table 1 Light - Accent 2"/>
    <w:basedOn w:val="10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3">
    <w:name w:val="Grid Table 1 Light - Accent 3"/>
    <w:basedOn w:val="10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4">
    <w:name w:val="Grid Table 1 Light - Accent 4"/>
    <w:basedOn w:val="10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5">
    <w:name w:val="Grid Table 1 Light - Accent 5"/>
    <w:basedOn w:val="10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6">
    <w:name w:val="Grid Table 1 Light - Accent 6"/>
    <w:basedOn w:val="10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7">
    <w:name w:val="Grid Table 2"/>
    <w:basedOn w:val="10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8">
    <w:name w:val="Grid Table 2 - Accent 1"/>
    <w:basedOn w:val="10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9">
    <w:name w:val="Grid Table 2 - Accent 2"/>
    <w:basedOn w:val="10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2 - Accent 3"/>
    <w:basedOn w:val="10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2 - Accent 4"/>
    <w:basedOn w:val="10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2 - Accent 5"/>
    <w:basedOn w:val="10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3">
    <w:name w:val="Grid Table 2 - Accent 6"/>
    <w:basedOn w:val="10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4">
    <w:name w:val="Grid Table 3"/>
    <w:basedOn w:val="10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1"/>
    <w:basedOn w:val="10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2"/>
    <w:basedOn w:val="10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3"/>
    <w:basedOn w:val="10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4"/>
    <w:basedOn w:val="10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5"/>
    <w:basedOn w:val="10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6"/>
    <w:basedOn w:val="10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4"/>
    <w:basedOn w:val="10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name w:val="Grid Table 4 - Accent 1"/>
    <w:basedOn w:val="10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3">
    <w:name w:val="Grid Table 4 - Accent 2"/>
    <w:basedOn w:val="10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4">
    <w:name w:val="Grid Table 4 - Accent 3"/>
    <w:basedOn w:val="10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5">
    <w:name w:val="Grid Table 4 - Accent 4"/>
    <w:basedOn w:val="10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6">
    <w:name w:val="Grid Table 4 - Accent 5"/>
    <w:basedOn w:val="10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7">
    <w:name w:val="Grid Table 4 - Accent 6"/>
    <w:basedOn w:val="10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8">
    <w:name w:val="Grid Table 5 Dark"/>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9">
    <w:name w:val="Grid Table 5 Dark- Accent 1"/>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70">
    <w:name w:val="Grid Table 5 Dark - Accent 2"/>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1">
    <w:name w:val="Grid Table 5 Dark - Accent 3"/>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2">
    <w:name w:val="Grid Table 5 Dark- Accent 4"/>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3">
    <w:name w:val="Grid Table 5 Dark - Accent 5"/>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4">
    <w:name w:val="Grid Table 5 Dark - Accent 6"/>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5">
    <w:name w:val="Grid Table 6 Colorful"/>
    <w:basedOn w:val="10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6">
    <w:name w:val="Grid Table 6 Colorful - Accent 1"/>
    <w:basedOn w:val="10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7">
    <w:name w:val="Grid Table 6 Colorful - Accent 2"/>
    <w:basedOn w:val="10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8">
    <w:name w:val="Grid Table 6 Colorful - Accent 3"/>
    <w:basedOn w:val="10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9">
    <w:name w:val="Grid Table 6 Colorful - Accent 4"/>
    <w:basedOn w:val="10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80">
    <w:name w:val="Grid Table 6 Colorful - Accent 5"/>
    <w:basedOn w:val="10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1">
    <w:name w:val="Grid Table 6 Colorful - Accent 6"/>
    <w:basedOn w:val="10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2">
    <w:name w:val="Grid Table 7 Colorful"/>
    <w:basedOn w:val="10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3">
    <w:name w:val="Grid Table 7 Colorful - Accent 1"/>
    <w:basedOn w:val="10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4">
    <w:name w:val="Grid Table 7 Colorful - Accent 2"/>
    <w:basedOn w:val="10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5">
    <w:name w:val="Grid Table 7 Colorful - Accent 3"/>
    <w:basedOn w:val="10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6">
    <w:name w:val="Grid Table 7 Colorful - Accent 4"/>
    <w:basedOn w:val="10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7">
    <w:name w:val="Grid Table 7 Colorful - Accent 5"/>
    <w:basedOn w:val="10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8">
    <w:name w:val="Grid Table 7 Colorful - Accent 6"/>
    <w:basedOn w:val="10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9">
    <w:name w:val="List Table 1 Light"/>
    <w:basedOn w:val="10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name w:val="List Table 1 Light - Accent 1"/>
    <w:basedOn w:val="10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1">
    <w:name w:val="List Table 1 Light - Accent 2"/>
    <w:basedOn w:val="10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2">
    <w:name w:val="List Table 1 Light - Accent 3"/>
    <w:basedOn w:val="10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3">
    <w:name w:val="List Table 1 Light - Accent 4"/>
    <w:basedOn w:val="10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4">
    <w:name w:val="List Table 1 Light - Accent 5"/>
    <w:basedOn w:val="10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5">
    <w:name w:val="List Table 1 Light - Accent 6"/>
    <w:basedOn w:val="10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6">
    <w:name w:val="List Table 2"/>
    <w:basedOn w:val="10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7">
    <w:name w:val="List Table 2 - Accent 1"/>
    <w:basedOn w:val="10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8">
    <w:name w:val="List Table 2 - Accent 2"/>
    <w:basedOn w:val="10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9">
    <w:name w:val="List Table 2 - Accent 3"/>
    <w:basedOn w:val="10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0">
    <w:name w:val="List Table 2 - Accent 4"/>
    <w:basedOn w:val="10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1">
    <w:name w:val="List Table 2 - Accent 5"/>
    <w:basedOn w:val="10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2">
    <w:name w:val="List Table 2 - Accent 6"/>
    <w:basedOn w:val="10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3">
    <w:name w:val="List Table 3"/>
    <w:basedOn w:val="10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3 - Accent 1"/>
    <w:basedOn w:val="10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5">
    <w:name w:val="List Table 3 - Accent 2"/>
    <w:basedOn w:val="10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6">
    <w:name w:val="List Table 3 - Accent 3"/>
    <w:basedOn w:val="10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7">
    <w:name w:val="List Table 3 - Accent 4"/>
    <w:basedOn w:val="10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8">
    <w:name w:val="List Table 3 - Accent 5"/>
    <w:basedOn w:val="10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9">
    <w:name w:val="List Table 3 - Accent 6"/>
    <w:basedOn w:val="10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10">
    <w:name w:val="List Table 4"/>
    <w:basedOn w:val="10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4 - Accent 1"/>
    <w:basedOn w:val="10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2">
    <w:name w:val="List Table 4 - Accent 2"/>
    <w:basedOn w:val="10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3">
    <w:name w:val="List Table 4 - Accent 3"/>
    <w:basedOn w:val="10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4">
    <w:name w:val="List Table 4 - Accent 4"/>
    <w:basedOn w:val="10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5">
    <w:name w:val="List Table 4 - Accent 5"/>
    <w:basedOn w:val="10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6">
    <w:name w:val="List Table 4 - Accent 6"/>
    <w:basedOn w:val="10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7">
    <w:name w:val="List Table 5 Dark"/>
    <w:basedOn w:val="10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1"/>
    <w:basedOn w:val="10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2"/>
    <w:basedOn w:val="10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3"/>
    <w:basedOn w:val="10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4"/>
    <w:basedOn w:val="10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5"/>
    <w:basedOn w:val="10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6"/>
    <w:basedOn w:val="10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6 Colorful"/>
    <w:basedOn w:val="10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5">
    <w:name w:val="List Table 6 Colorful - Accent 1"/>
    <w:basedOn w:val="10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6">
    <w:name w:val="List Table 6 Colorful - Accent 2"/>
    <w:basedOn w:val="10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7">
    <w:name w:val="List Table 6 Colorful - Accent 3"/>
    <w:basedOn w:val="10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8">
    <w:name w:val="List Table 6 Colorful - Accent 4"/>
    <w:basedOn w:val="10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9">
    <w:name w:val="List Table 6 Colorful - Accent 5"/>
    <w:basedOn w:val="10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30">
    <w:name w:val="List Table 6 Colorful - Accent 6"/>
    <w:basedOn w:val="10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1">
    <w:name w:val="List Table 7 Colorful"/>
    <w:basedOn w:val="10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2">
    <w:name w:val="List Table 7 Colorful - Accent 1"/>
    <w:basedOn w:val="10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3">
    <w:name w:val="List Table 7 Colorful - Accent 2"/>
    <w:basedOn w:val="10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4">
    <w:name w:val="List Table 7 Colorful - Accent 3"/>
    <w:basedOn w:val="10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5">
    <w:name w:val="List Table 7 Colorful - Accent 4"/>
    <w:basedOn w:val="10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6">
    <w:name w:val="List Table 7 Colorful - Accent 5"/>
    <w:basedOn w:val="10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7">
    <w:name w:val="List Table 7 Colorful - Accent 6"/>
    <w:basedOn w:val="10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8">
    <w:name w:val="Lined - Accent"/>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Lined - Accent 1"/>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0">
    <w:name w:val="Lined - Accent 2"/>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1">
    <w:name w:val="Lined - Accent 3"/>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2">
    <w:name w:val="Lined - Accent 4"/>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3">
    <w:name w:val="Lined - Accent 5"/>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4">
    <w:name w:val="Lined - Accent 6"/>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5">
    <w:name w:val="Bordered &amp; Lined - Accent"/>
    <w:basedOn w:val="10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Bordered &amp; Lined - Accent 1"/>
    <w:basedOn w:val="10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7">
    <w:name w:val="Bordered &amp; Lined - Accent 2"/>
    <w:basedOn w:val="10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8">
    <w:name w:val="Bordered &amp; Lined - Accent 3"/>
    <w:basedOn w:val="10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9">
    <w:name w:val="Bordered &amp; Lined - Accent 4"/>
    <w:basedOn w:val="10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0">
    <w:name w:val="Bordered &amp; Lined - Accent 5"/>
    <w:basedOn w:val="10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1">
    <w:name w:val="Bordered &amp; Lined - Accent 6"/>
    <w:basedOn w:val="10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2">
    <w:name w:val="Bordered"/>
    <w:basedOn w:val="10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3">
    <w:name w:val="Bordered - Accent 1"/>
    <w:basedOn w:val="10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4">
    <w:name w:val="Bordered - Accent 2"/>
    <w:basedOn w:val="10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5">
    <w:name w:val="Bordered - Accent 3"/>
    <w:basedOn w:val="10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6">
    <w:name w:val="Bordered - Accent 4"/>
    <w:basedOn w:val="10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7">
    <w:name w:val="Bordered - Accent 5"/>
    <w:basedOn w:val="10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8">
    <w:name w:val="Bordered - Accent 6"/>
    <w:basedOn w:val="10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9">
    <w:name w:val="footnote text"/>
    <w:basedOn w:val="1073"/>
    <w:link w:val="1060"/>
    <w:uiPriority w:val="99"/>
    <w:semiHidden/>
    <w:unhideWhenUsed/>
    <w:pPr>
      <w:spacing w:after="40" w:line="240" w:lineRule="auto"/>
    </w:pPr>
    <w:rPr>
      <w:sz w:val="18"/>
    </w:rPr>
  </w:style>
  <w:style w:type="character" w:styleId="1060">
    <w:name w:val="Footnote Text Char"/>
    <w:link w:val="1059"/>
    <w:uiPriority w:val="99"/>
    <w:rPr>
      <w:sz w:val="18"/>
    </w:rPr>
  </w:style>
  <w:style w:type="character" w:styleId="1061">
    <w:name w:val="footnote reference"/>
    <w:basedOn w:val="1077"/>
    <w:uiPriority w:val="99"/>
    <w:unhideWhenUsed/>
    <w:rPr>
      <w:vertAlign w:val="superscript"/>
    </w:rPr>
  </w:style>
  <w:style w:type="paragraph" w:styleId="1062">
    <w:name w:val="endnote text"/>
    <w:basedOn w:val="1073"/>
    <w:link w:val="1063"/>
    <w:uiPriority w:val="99"/>
    <w:semiHidden/>
    <w:unhideWhenUsed/>
    <w:pPr>
      <w:spacing w:after="0" w:line="240" w:lineRule="auto"/>
    </w:pPr>
    <w:rPr>
      <w:sz w:val="20"/>
    </w:rPr>
  </w:style>
  <w:style w:type="character" w:styleId="1063">
    <w:name w:val="Endnote Text Char"/>
    <w:link w:val="1062"/>
    <w:uiPriority w:val="99"/>
    <w:rPr>
      <w:sz w:val="20"/>
    </w:rPr>
  </w:style>
  <w:style w:type="character" w:styleId="1064">
    <w:name w:val="endnote reference"/>
    <w:basedOn w:val="1077"/>
    <w:uiPriority w:val="99"/>
    <w:semiHidden/>
    <w:unhideWhenUsed/>
    <w:rPr>
      <w:vertAlign w:val="superscript"/>
    </w:rPr>
  </w:style>
  <w:style w:type="paragraph" w:styleId="1065">
    <w:name w:val="toc 4"/>
    <w:basedOn w:val="1073"/>
    <w:next w:val="1073"/>
    <w:uiPriority w:val="39"/>
    <w:unhideWhenUsed/>
    <w:pPr>
      <w:ind w:left="850"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74">
    <w:name w:val="Heading 1"/>
    <w:basedOn w:val="1073"/>
    <w:next w:val="1073"/>
    <w:uiPriority w:val="0"/>
    <w:qFormat/>
    <w:pPr>
      <w:ind w:left="100" w:right="100"/>
      <w:keepLines/>
      <w:keepNext/>
      <w:spacing w:before="120" w:after="120"/>
      <w:outlineLvl w:val="0"/>
    </w:pPr>
    <w:rPr>
      <w:b/>
      <w:bCs/>
      <w:szCs w:val="44"/>
    </w:rPr>
  </w:style>
  <w:style w:type="paragraph" w:styleId="1075">
    <w:name w:val="Heading 2"/>
    <w:basedOn w:val="1073"/>
    <w:next w:val="10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6">
    <w:name w:val="Heading 4"/>
    <w:basedOn w:val="1073"/>
    <w:next w:val="1073"/>
    <w:uiPriority w:val="0"/>
    <w:qFormat/>
    <w:pPr>
      <w:keepLines/>
      <w:keepNext/>
      <w:spacing w:before="280" w:after="290" w:line="376" w:lineRule="auto"/>
      <w:outlineLvl w:val="3"/>
    </w:pPr>
    <w:rPr>
      <w:rFonts w:ascii="Arial" w:hAnsi="Arial" w:eastAsia="黑体" w:cs="Arial"/>
      <w:b/>
      <w:bCs/>
      <w:sz w:val="28"/>
      <w:szCs w:val="28"/>
    </w:rPr>
  </w:style>
  <w:style w:type="character" w:styleId="1077" w:default="1">
    <w:name w:val="Default Paragraph Font"/>
    <w:uiPriority w:val="0"/>
    <w:semiHidden/>
    <w:qFormat/>
  </w:style>
  <w:style w:type="table" w:styleId="1078" w:default="1">
    <w:name w:val="Normal Table"/>
    <w:uiPriority w:val="0"/>
    <w:semiHidden/>
    <w:qFormat/>
    <w:tblPr>
      <w:tblCellMar>
        <w:left w:w="108" w:type="dxa"/>
        <w:top w:w="0" w:type="dxa"/>
        <w:right w:w="108" w:type="dxa"/>
        <w:bottom w:w="0" w:type="dxa"/>
      </w:tblCellMar>
    </w:tblPr>
  </w:style>
  <w:style w:type="paragraph" w:styleId="1079">
    <w:name w:val="Note Heading"/>
    <w:basedOn w:val="1073"/>
    <w:next w:val="1073"/>
    <w:uiPriority w:val="99"/>
    <w:qFormat/>
    <w:rPr>
      <w:rFonts w:ascii="Verdana" w:hAnsi="Verdana"/>
      <w:szCs w:val="20"/>
    </w:rPr>
  </w:style>
  <w:style w:type="paragraph" w:styleId="1080">
    <w:name w:val="Normal Indent"/>
    <w:basedOn w:val="1073"/>
    <w:uiPriority w:val="0"/>
    <w:qFormat/>
    <w:pPr>
      <w:ind w:firstLine="420"/>
    </w:pPr>
    <w:rPr>
      <w:sz w:val="20"/>
      <w:szCs w:val="21"/>
    </w:rPr>
  </w:style>
  <w:style w:type="paragraph" w:styleId="1081">
    <w:name w:val="toa heading"/>
    <w:basedOn w:val="1073"/>
    <w:next w:val="1073"/>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082">
    <w:name w:val="Body Text"/>
    <w:basedOn w:val="1073"/>
    <w:next w:val="1073"/>
    <w:uiPriority w:val="1"/>
    <w:qFormat/>
    <w:pPr>
      <w:ind w:left="120"/>
      <w:spacing w:before="150"/>
    </w:pPr>
    <w:rPr>
      <w:sz w:val="24"/>
      <w:szCs w:val="24"/>
    </w:rPr>
  </w:style>
  <w:style w:type="paragraph" w:styleId="1083">
    <w:name w:val="Body Text Indent"/>
    <w:basedOn w:val="1073"/>
    <w:uiPriority w:val="0"/>
    <w:unhideWhenUsed/>
    <w:qFormat/>
    <w:pPr>
      <w:ind w:left="420"/>
      <w:spacing w:after="120"/>
    </w:pPr>
  </w:style>
  <w:style w:type="paragraph" w:styleId="1084">
    <w:name w:val="Block Text"/>
    <w:basedOn w:val="1073"/>
    <w:uiPriority w:val="0"/>
    <w:qFormat/>
    <w:pPr>
      <w:ind w:left="1440" w:right="700"/>
      <w:spacing w:after="120"/>
    </w:pPr>
    <w:rPr>
      <w:rFonts w:ascii="Times New Roman" w:hAnsi="Times New Roman"/>
    </w:rPr>
  </w:style>
  <w:style w:type="paragraph" w:styleId="1085">
    <w:name w:val="toc 3"/>
    <w:basedOn w:val="1073"/>
    <w:next w:val="1073"/>
    <w:uiPriority w:val="0"/>
    <w:qFormat/>
    <w:pPr>
      <w:ind w:left="840"/>
    </w:pPr>
  </w:style>
  <w:style w:type="paragraph" w:styleId="1086">
    <w:name w:val="Plain Text"/>
    <w:basedOn w:val="1073"/>
    <w:uiPriority w:val="0"/>
    <w:qFormat/>
    <w:rPr>
      <w:rFonts w:ascii="宋体" w:hAnsi="Courier New" w:eastAsia="宋体" w:cs="Courier New"/>
      <w:szCs w:val="21"/>
    </w:rPr>
  </w:style>
  <w:style w:type="paragraph" w:styleId="1087">
    <w:name w:val="Footer"/>
    <w:basedOn w:val="1073"/>
    <w:uiPriority w:val="99"/>
    <w:qFormat/>
    <w:pPr>
      <w:jc w:val="left"/>
      <w:tabs>
        <w:tab w:val="center" w:pos="4153" w:leader="none"/>
        <w:tab w:val="right" w:pos="8306" w:leader="none"/>
      </w:tabs>
    </w:pPr>
    <w:rPr>
      <w:rFonts w:ascii="Times New Roman" w:hAnsi="Times New Roman"/>
      <w:sz w:val="18"/>
      <w:szCs w:val="18"/>
    </w:rPr>
  </w:style>
  <w:style w:type="paragraph" w:styleId="1088">
    <w:name w:val="envelope return"/>
    <w:basedOn w:val="1073"/>
    <w:uiPriority w:val="99"/>
    <w:unhideWhenUsed/>
    <w:qFormat/>
    <w:rPr>
      <w:rFonts w:ascii="Arial" w:hAnsi="Arial" w:cs="Arial"/>
    </w:rPr>
  </w:style>
  <w:style w:type="paragraph" w:styleId="1089">
    <w:name w:val="Header"/>
    <w:basedOn w:val="107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90">
    <w:name w:val="toc 1"/>
    <w:basedOn w:val="1073"/>
    <w:next w:val="1073"/>
    <w:uiPriority w:val="0"/>
    <w:qFormat/>
  </w:style>
  <w:style w:type="paragraph" w:styleId="1091">
    <w:name w:val="toc 2"/>
    <w:basedOn w:val="1073"/>
    <w:next w:val="1073"/>
    <w:uiPriority w:val="0"/>
    <w:qFormat/>
    <w:pPr>
      <w:ind w:left="420"/>
    </w:pPr>
  </w:style>
  <w:style w:type="paragraph" w:styleId="1092">
    <w:name w:val="Normal (Web)"/>
    <w:basedOn w:val="1073"/>
    <w:uiPriority w:val="0"/>
    <w:qFormat/>
    <w:pPr>
      <w:ind w:left="0" w:right="0"/>
      <w:jc w:val="left"/>
      <w:spacing w:before="0" w:beforeAutospacing="1" w:after="0" w:afterAutospacing="1"/>
    </w:pPr>
    <w:rPr>
      <w:sz w:val="24"/>
      <w:lang w:val="en-US" w:eastAsia="zh-CN" w:bidi="ar"/>
    </w:rPr>
  </w:style>
  <w:style w:type="paragraph" w:styleId="1093">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table" w:styleId="1094">
    <w:name w:val="Table Grid"/>
    <w:basedOn w:val="107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name w:val="page number"/>
    <w:uiPriority w:val="0"/>
    <w:qFormat/>
  </w:style>
  <w:style w:type="character" w:styleId="1096">
    <w:name w:val="Hyperlink"/>
    <w:uiPriority w:val="0"/>
    <w:qFormat/>
    <w:rPr>
      <w:color w:val="0000ff"/>
      <w:u w:val="single"/>
    </w:rPr>
  </w:style>
  <w:style w:type="paragraph" w:styleId="1097">
    <w:name w:val="List Paragraph"/>
    <w:basedOn w:val="1073"/>
    <w:uiPriority w:val="34"/>
    <w:unhideWhenUsed/>
    <w:qFormat/>
    <w:pPr>
      <w:ind w:firstLine="420"/>
    </w:pPr>
  </w:style>
  <w:style w:type="paragraph" w:styleId="1098" w:customStyle="1">
    <w:name w:val="论文正文"/>
    <w:basedOn w:val="1073"/>
    <w:uiPriority w:val="99"/>
    <w:qFormat/>
    <w:pPr>
      <w:ind w:firstLine="200"/>
      <w:spacing w:line="360" w:lineRule="auto"/>
    </w:pPr>
    <w:rPr>
      <w:rFonts w:eastAsia="宋体"/>
    </w:rPr>
  </w:style>
  <w:style w:type="paragraph" w:styleId="109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100" w:customStyle="1">
    <w:name w:val="bot_zi"/>
    <w:basedOn w:val="1077"/>
    <w:uiPriority w:val="0"/>
    <w:qFormat/>
  </w:style>
  <w:style w:type="paragraph" w:styleId="1101"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5" w:customStyle="1">
    <w:name w:val="列出段落1"/>
    <w:basedOn w:val="1073"/>
    <w:uiPriority w:val="0"/>
    <w:qFormat/>
    <w:pPr>
      <w:contextualSpacing/>
      <w:ind w:left="720"/>
      <w:jc w:val="left"/>
      <w:widowControl/>
    </w:pPr>
    <w:rPr>
      <w:rFonts w:ascii="Calibri" w:hAnsi="Calibri"/>
      <w:sz w:val="24"/>
      <w:szCs w:val="24"/>
      <w:lang w:eastAsia="en-US" w:bidi="en-US"/>
    </w:rPr>
  </w:style>
  <w:style w:type="paragraph" w:styleId="1106" w:customStyle="1">
    <w:name w:val="WPSOffice手动目录 1"/>
    <w:uiPriority w:val="0"/>
    <w:qFormat/>
    <w:rPr>
      <w:rFonts w:ascii="Times New Roman" w:hAnsi="Times New Roman" w:eastAsia="宋体" w:cs="Times New Roman"/>
      <w:sz w:val="20"/>
      <w:szCs w:val="20"/>
    </w:rPr>
  </w:style>
  <w:style w:type="paragraph" w:styleId="1107" w:customStyle="1">
    <w:name w:val="WPSOffice手动目录 2"/>
    <w:uiPriority w:val="0"/>
    <w:qFormat/>
    <w:rPr>
      <w:rFonts w:ascii="Times New Roman" w:hAnsi="Times New Roman" w:eastAsia="宋体" w:cs="Times New Roman"/>
      <w:sz w:val="20"/>
      <w:szCs w:val="20"/>
    </w:rPr>
  </w:style>
  <w:style w:type="paragraph" w:styleId="1108" w:customStyle="1">
    <w:name w:val="WPSOffice手动目录 3"/>
    <w:uiPriority w:val="0"/>
    <w:qFormat/>
    <w:rPr>
      <w:rFonts w:ascii="Times New Roman" w:hAnsi="Times New Roman" w:eastAsia="宋体" w:cs="Times New Roman"/>
      <w:sz w:val="20"/>
      <w:szCs w:val="20"/>
    </w:rPr>
  </w:style>
  <w:style w:type="paragraph" w:styleId="1109" w:customStyle="1">
    <w:name w:val="正文首行缩进1"/>
    <w:basedOn w:val="1110"/>
    <w:uiPriority w:val="0"/>
    <w:unhideWhenUsed/>
    <w:qFormat/>
    <w:pPr>
      <w:ind w:firstLine="420"/>
    </w:pPr>
  </w:style>
  <w:style w:type="paragraph" w:styleId="1110" w:customStyle="1">
    <w:name w:val="正文文本11"/>
    <w:basedOn w:val="1073"/>
    <w:next w:val="1111"/>
    <w:uiPriority w:val="0"/>
    <w:qFormat/>
    <w:rPr>
      <w:rFonts w:ascii="楷体_GB2312" w:hAnsi="Arial" w:eastAsia="楷体_GB2312"/>
      <w:sz w:val="28"/>
      <w:szCs w:val="20"/>
    </w:rPr>
  </w:style>
  <w:style w:type="paragraph" w:styleId="1111" w:customStyle="1">
    <w:name w:val="正文文本 21"/>
    <w:basedOn w:val="1073"/>
    <w:uiPriority w:val="99"/>
    <w:qFormat/>
    <w:pPr>
      <w:jc w:val="center"/>
    </w:pPr>
    <w:rPr>
      <w:rFonts w:ascii="仿宋_GB2312" w:eastAsia="仿宋_GB2312"/>
      <w:sz w:val="44"/>
    </w:rPr>
  </w:style>
  <w:style w:type="paragraph" w:styleId="1112" w:customStyle="1">
    <w:name w:val="纯文本1"/>
    <w:basedOn w:val="1073"/>
    <w:uiPriority w:val="0"/>
    <w:qFormat/>
    <w:rPr>
      <w:rFonts w:ascii="宋体" w:hAnsi="Courier New" w:eastAsia="楷体_GB2312"/>
      <w:sz w:val="26"/>
      <w:szCs w:val="22"/>
    </w:rPr>
  </w:style>
  <w:style w:type="paragraph" w:styleId="1113" w:customStyle="1">
    <w:name w:val="首行缩进_0"/>
    <w:basedOn w:val="1114"/>
    <w:uiPriority w:val="0"/>
    <w:qFormat/>
    <w:pPr>
      <w:ind w:firstLine="480"/>
      <w:jc w:val="left"/>
      <w:spacing w:line="360" w:lineRule="auto"/>
    </w:pPr>
    <w:rPr>
      <w:rFonts w:ascii="宋体" w:hAnsi="宋体"/>
      <w:sz w:val="24"/>
    </w:rPr>
  </w:style>
  <w:style w:type="paragraph" w:styleId="1114" w:customStyle="1">
    <w:name w:val="Normal_0"/>
    <w:basedOn w:val="1115"/>
    <w:next w:val="1115"/>
    <w:uiPriority w:val="0"/>
    <w:qFormat/>
    <w:pPr>
      <w:ind w:firstLine="200"/>
      <w:jc w:val="both"/>
      <w:spacing w:line="440" w:lineRule="exact"/>
      <w:widowControl w:val="off"/>
    </w:pPr>
    <w:rPr>
      <w:rFonts w:eastAsia="宋体"/>
      <w:sz w:val="21"/>
    </w:rPr>
  </w:style>
  <w:style w:type="paragraph" w:styleId="1115" w:customStyle="1">
    <w:name w:val="Normal_1"/>
    <w:next w:val="111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16" w:customStyle="1">
    <w:name w:val="首行缩进_0_0"/>
    <w:basedOn w:val="1115"/>
    <w:uiPriority w:val="0"/>
    <w:qFormat/>
    <w:pPr>
      <w:ind w:firstLine="480"/>
      <w:spacing w:line="360" w:lineRule="auto"/>
    </w:pPr>
    <w:rPr>
      <w:rFonts w:ascii="宋体" w:hAnsi="宋体"/>
    </w:rPr>
  </w:style>
  <w:style w:type="paragraph" w:styleId="1117"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18" w:customStyle="1">
    <w:name w:val="Normal_5"/>
    <w:next w:val="111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19" w:customStyle="1">
    <w:name w:val="+正文"/>
    <w:basedOn w:val="1073"/>
    <w:uiPriority w:val="0"/>
    <w:qFormat/>
    <w:pPr>
      <w:ind w:firstLine="200"/>
      <w:spacing w:line="360" w:lineRule="auto"/>
    </w:pPr>
    <w:rPr>
      <w:rFonts w:ascii="Times New Roman" w:hAnsi="Times New Roman"/>
      <w:sz w:val="24"/>
      <w:szCs w:val="28"/>
    </w:rPr>
  </w:style>
  <w:style w:type="paragraph" w:styleId="1120" w:customStyle="1">
    <w:name w:val="彩色列表1"/>
    <w:basedOn w:val="1073"/>
    <w:uiPriority w:val="0"/>
    <w:qFormat/>
    <w:pPr>
      <w:ind w:firstLine="420"/>
    </w:pPr>
  </w:style>
  <w:style w:type="paragraph" w:styleId="1121" w:customStyle="1">
    <w:name w:val="正文文本1"/>
    <w:basedOn w:val="1073"/>
    <w:next w:val="1073"/>
    <w:uiPriority w:val="0"/>
    <w:qFormat/>
    <w:rPr>
      <w:rFonts w:ascii="宋体" w:eastAsia="宋体"/>
      <w:sz w:val="28"/>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杜淑娴</cp:lastModifiedBy>
  <cp:revision>3</cp:revision>
  <dcterms:created xsi:type="dcterms:W3CDTF">2024-04-24T14:46:00Z</dcterms:created>
  <dcterms:modified xsi:type="dcterms:W3CDTF">2025-11-07T06:04:59Z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03CBC6B43C9C44568B3349E54F779247_13</vt:lpwstr>
  </property>
  <property fmtid="{D5CDD505-2E9C-101B-9397-08002B2CF9AE}" pid="4" name="KSOTemplateDocerSaveRecord">
    <vt:lpwstr>eyJoZGlkIjoiNzNmNzE2NTViM2MyZDhkM2Q0ZjBiNDE1ZWQ1NGRjYjkiLCJ1c2VySWQiOiI0NTQwNzYzOTEifQ==</vt:lpwstr>
  </property>
</Properties>
</file>